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6F" w:rsidRPr="00CE3D6F" w:rsidRDefault="00CE3D6F" w:rsidP="00CE3D6F">
      <w:pPr>
        <w:keepNext/>
        <w:keepLines/>
        <w:spacing w:before="240" w:after="0" w:line="360" w:lineRule="auto"/>
        <w:jc w:val="center"/>
        <w:outlineLvl w:val="0"/>
        <w:rPr>
          <w:rFonts w:eastAsiaTheme="majorEastAsia" w:cstheme="majorBidi"/>
          <w:szCs w:val="32"/>
          <w:u w:val="single"/>
        </w:rPr>
      </w:pPr>
      <w:r w:rsidRPr="00CE3D6F">
        <w:rPr>
          <w:rFonts w:eastAsiaTheme="majorEastAsia" w:cstheme="majorBidi"/>
          <w:szCs w:val="32"/>
          <w:u w:val="single"/>
        </w:rPr>
        <w:t>HIV testing amongst older sexual health clinic attendees in England: an epidemiological study</w:t>
      </w:r>
    </w:p>
    <w:p w:rsidR="00CE3D6F" w:rsidRPr="00CE3D6F" w:rsidRDefault="00CE3D6F" w:rsidP="00CE3D6F">
      <w:pPr>
        <w:spacing w:line="360" w:lineRule="auto"/>
      </w:pPr>
    </w:p>
    <w:p w:rsidR="00CE3D6F" w:rsidRPr="00CE3D6F" w:rsidRDefault="00CE3D6F" w:rsidP="00CE3D6F">
      <w:pPr>
        <w:spacing w:line="360" w:lineRule="auto"/>
        <w:rPr>
          <w:vertAlign w:val="superscript"/>
        </w:rPr>
      </w:pPr>
      <w:r w:rsidRPr="00CE3D6F">
        <w:t>Sadie Bell</w:t>
      </w:r>
      <w:r w:rsidRPr="00CE3D6F">
        <w:rPr>
          <w:vertAlign w:val="superscript"/>
        </w:rPr>
        <w:t>1§</w:t>
      </w:r>
      <w:r w:rsidRPr="00CE3D6F">
        <w:t>, Joy Adamson</w:t>
      </w:r>
      <w:r w:rsidRPr="00CE3D6F">
        <w:rPr>
          <w:vertAlign w:val="superscript"/>
        </w:rPr>
        <w:t>2</w:t>
      </w:r>
      <w:r w:rsidRPr="00CE3D6F">
        <w:t>, Fabiola Martin</w:t>
      </w:r>
      <w:r w:rsidRPr="00CE3D6F">
        <w:rPr>
          <w:vertAlign w:val="superscript"/>
        </w:rPr>
        <w:t>3</w:t>
      </w:r>
      <w:r w:rsidR="008D7C20">
        <w:rPr>
          <w:vertAlign w:val="superscript"/>
        </w:rPr>
        <w:t>,4</w:t>
      </w:r>
      <w:r w:rsidRPr="00CE3D6F">
        <w:t>, Tim Doran</w:t>
      </w:r>
      <w:r w:rsidR="008D7C20">
        <w:rPr>
          <w:vertAlign w:val="superscript"/>
        </w:rPr>
        <w:t>5</w:t>
      </w:r>
    </w:p>
    <w:p w:rsidR="00CE3D6F" w:rsidRPr="00CE3D6F" w:rsidRDefault="00CE3D6F" w:rsidP="00CE3D6F">
      <w:pPr>
        <w:numPr>
          <w:ilvl w:val="0"/>
          <w:numId w:val="2"/>
        </w:numPr>
        <w:spacing w:before="120" w:after="120" w:line="276" w:lineRule="auto"/>
        <w:contextualSpacing/>
        <w:rPr>
          <w:rFonts w:ascii="Calibri" w:eastAsia="Calibri" w:hAnsi="Calibri" w:cs="Times New Roman"/>
        </w:rPr>
      </w:pPr>
      <w:r w:rsidRPr="00CE3D6F">
        <w:rPr>
          <w:rFonts w:ascii="Calibri" w:eastAsia="Calibri" w:hAnsi="Calibri" w:cs="Times New Roman"/>
        </w:rPr>
        <w:t>Department of Global Health and Development, London School of Hygiene &amp; Tropical Medicine, London, WC1H 9SH, UK</w:t>
      </w:r>
    </w:p>
    <w:p w:rsidR="00CE3D6F" w:rsidRPr="00CE3D6F" w:rsidRDefault="00CE3D6F" w:rsidP="00CE3D6F">
      <w:pPr>
        <w:numPr>
          <w:ilvl w:val="0"/>
          <w:numId w:val="2"/>
        </w:numPr>
        <w:spacing w:before="120" w:after="120" w:line="276" w:lineRule="auto"/>
        <w:contextualSpacing/>
        <w:rPr>
          <w:rFonts w:ascii="Calibri" w:eastAsia="Calibri" w:hAnsi="Calibri" w:cs="Times New Roman"/>
        </w:rPr>
      </w:pPr>
      <w:r w:rsidRPr="00CE3D6F">
        <w:rPr>
          <w:rFonts w:ascii="Calibri" w:eastAsia="Calibri" w:hAnsi="Calibri" w:cs="Times New Roman"/>
        </w:rPr>
        <w:t>Institute of Health &amp; Society, Newcastle University, Newcastle upon Tyne, NE2 4AX, UK</w:t>
      </w:r>
    </w:p>
    <w:p w:rsidR="00CE3D6F" w:rsidRDefault="00CE3D6F" w:rsidP="00CE3D6F">
      <w:pPr>
        <w:numPr>
          <w:ilvl w:val="0"/>
          <w:numId w:val="2"/>
        </w:numPr>
        <w:spacing w:before="120" w:after="120" w:line="276" w:lineRule="auto"/>
        <w:contextualSpacing/>
        <w:rPr>
          <w:rFonts w:ascii="Calibri" w:eastAsia="Calibri" w:hAnsi="Calibri" w:cs="Times New Roman"/>
        </w:rPr>
      </w:pPr>
      <w:r w:rsidRPr="00CE3D6F">
        <w:rPr>
          <w:rFonts w:ascii="Calibri" w:eastAsia="Calibri" w:hAnsi="Calibri" w:cs="Times New Roman"/>
        </w:rPr>
        <w:t>Department of Biology and Hull York Medical School, University of York, York, YO10 5DD, UK</w:t>
      </w:r>
    </w:p>
    <w:p w:rsidR="008D7C20" w:rsidRPr="00CE3D6F" w:rsidRDefault="008D7C20" w:rsidP="00CE3D6F">
      <w:pPr>
        <w:numPr>
          <w:ilvl w:val="0"/>
          <w:numId w:val="2"/>
        </w:numPr>
        <w:spacing w:before="120" w:after="120" w:line="276" w:lineRule="auto"/>
        <w:contextualSpacing/>
        <w:rPr>
          <w:rFonts w:ascii="Calibri" w:eastAsia="Calibri" w:hAnsi="Calibri" w:cs="Times New Roman"/>
        </w:rPr>
      </w:pPr>
      <w:r>
        <w:rPr>
          <w:rFonts w:ascii="Calibri" w:eastAsia="Calibri" w:hAnsi="Calibri" w:cs="Times New Roman"/>
        </w:rPr>
        <w:t>Faculty of Medicine, University of Queensland, Brisbane, Australia</w:t>
      </w:r>
    </w:p>
    <w:p w:rsidR="00CE3D6F" w:rsidRPr="00CE3D6F" w:rsidRDefault="00CE3D6F" w:rsidP="00CE3D6F">
      <w:pPr>
        <w:numPr>
          <w:ilvl w:val="0"/>
          <w:numId w:val="2"/>
        </w:numPr>
        <w:spacing w:before="120" w:after="120" w:line="276" w:lineRule="auto"/>
        <w:contextualSpacing/>
        <w:rPr>
          <w:rFonts w:ascii="Calibri" w:eastAsia="Calibri" w:hAnsi="Calibri" w:cs="Times New Roman"/>
        </w:rPr>
      </w:pPr>
      <w:r w:rsidRPr="00CE3D6F">
        <w:rPr>
          <w:rFonts w:ascii="Calibri" w:eastAsia="Calibri" w:hAnsi="Calibri" w:cs="Times New Roman"/>
        </w:rPr>
        <w:t>Department of Health Sciences, University of York, York YO10 5DD, UK</w:t>
      </w:r>
    </w:p>
    <w:p w:rsidR="00CE3D6F" w:rsidRPr="00CE3D6F" w:rsidRDefault="00CE3D6F" w:rsidP="00CE3D6F">
      <w:pPr>
        <w:spacing w:before="120" w:after="120" w:line="276" w:lineRule="auto"/>
        <w:ind w:left="720"/>
        <w:contextualSpacing/>
        <w:rPr>
          <w:rFonts w:ascii="Calibri" w:eastAsia="Calibri" w:hAnsi="Calibri" w:cs="Times New Roman"/>
        </w:rPr>
      </w:pPr>
    </w:p>
    <w:p w:rsidR="00CE3D6F" w:rsidRPr="00CE3D6F" w:rsidRDefault="00CE3D6F" w:rsidP="00CE3D6F">
      <w:pPr>
        <w:spacing w:before="120" w:after="120" w:line="276" w:lineRule="auto"/>
        <w:ind w:left="720"/>
        <w:contextualSpacing/>
        <w:rPr>
          <w:rFonts w:ascii="Calibri" w:eastAsia="Calibri" w:hAnsi="Calibri" w:cs="Times New Roman"/>
        </w:rPr>
      </w:pPr>
    </w:p>
    <w:p w:rsidR="00CE3D6F" w:rsidRPr="00CE3D6F" w:rsidRDefault="00CE3D6F" w:rsidP="00CE3D6F">
      <w:pPr>
        <w:spacing w:line="276" w:lineRule="auto"/>
      </w:pPr>
      <w:r w:rsidRPr="00CE3D6F">
        <w:rPr>
          <w:rFonts w:ascii="Times New Roman" w:hAnsi="Times New Roman" w:cs="Times New Roman"/>
          <w:bCs/>
          <w:sz w:val="32"/>
          <w:szCs w:val="24"/>
          <w:vertAlign w:val="superscript"/>
        </w:rPr>
        <w:t>§</w:t>
      </w:r>
      <w:r w:rsidRPr="00CE3D6F">
        <w:rPr>
          <w:rFonts w:ascii="Times New Roman" w:hAnsi="Times New Roman" w:cs="Times New Roman"/>
          <w:b/>
        </w:rPr>
        <w:t xml:space="preserve"> </w:t>
      </w:r>
      <w:r w:rsidRPr="00CE3D6F">
        <w:t>Corresponding author: Sadie Bell</w:t>
      </w:r>
    </w:p>
    <w:p w:rsidR="00CE3D6F" w:rsidRPr="00CE3D6F" w:rsidRDefault="00CE3D6F" w:rsidP="00CE3D6F">
      <w:pPr>
        <w:spacing w:after="0" w:line="276" w:lineRule="auto"/>
      </w:pPr>
      <w:r w:rsidRPr="00CE3D6F">
        <w:t>Room 307</w:t>
      </w:r>
    </w:p>
    <w:p w:rsidR="00CE3D6F" w:rsidRPr="00CE3D6F" w:rsidRDefault="00CE3D6F" w:rsidP="00CE3D6F">
      <w:pPr>
        <w:spacing w:after="0" w:line="276" w:lineRule="auto"/>
      </w:pPr>
      <w:r w:rsidRPr="00CE3D6F">
        <w:t>15-17 Tavistock Place</w:t>
      </w:r>
    </w:p>
    <w:p w:rsidR="00CE3D6F" w:rsidRPr="00CE3D6F" w:rsidRDefault="00CE3D6F" w:rsidP="00CE3D6F">
      <w:pPr>
        <w:spacing w:after="0" w:line="276" w:lineRule="auto"/>
      </w:pPr>
      <w:r w:rsidRPr="00CE3D6F">
        <w:t>London School of Hygiene and Tropical Medicine</w:t>
      </w:r>
    </w:p>
    <w:p w:rsidR="00CE3D6F" w:rsidRPr="00CE3D6F" w:rsidRDefault="00CE3D6F" w:rsidP="00CE3D6F">
      <w:pPr>
        <w:spacing w:after="0" w:line="276" w:lineRule="auto"/>
      </w:pPr>
      <w:r w:rsidRPr="00CE3D6F">
        <w:t>WC1H 9SH</w:t>
      </w:r>
    </w:p>
    <w:p w:rsidR="00CE3D6F" w:rsidRPr="00CE3D6F" w:rsidRDefault="00CE3D6F" w:rsidP="00CE3D6F">
      <w:pPr>
        <w:spacing w:after="0" w:line="276" w:lineRule="auto"/>
      </w:pPr>
      <w:r w:rsidRPr="00CE3D6F">
        <w:t>Phone number: 02079272885</w:t>
      </w:r>
    </w:p>
    <w:p w:rsidR="00CE3D6F" w:rsidRPr="00CE3D6F" w:rsidRDefault="00CE3D6F" w:rsidP="00CE3D6F">
      <w:pPr>
        <w:spacing w:after="0" w:line="276" w:lineRule="auto"/>
      </w:pPr>
      <w:r w:rsidRPr="00CE3D6F">
        <w:t>Email address: sadie.bell@lshtm.ac.uk</w:t>
      </w:r>
    </w:p>
    <w:p w:rsidR="00CE3D6F" w:rsidRPr="00CE3D6F" w:rsidRDefault="00CE3D6F" w:rsidP="00CE3D6F">
      <w:pPr>
        <w:spacing w:line="360" w:lineRule="auto"/>
      </w:pPr>
    </w:p>
    <w:p w:rsidR="00CE3D6F" w:rsidRPr="00CE3D6F" w:rsidRDefault="00CE3D6F" w:rsidP="00CE3D6F">
      <w:pPr>
        <w:spacing w:line="360" w:lineRule="auto"/>
      </w:pPr>
      <w:r w:rsidRPr="00CE3D6F">
        <w:t>E-mail addresses of authors:</w:t>
      </w:r>
    </w:p>
    <w:p w:rsidR="00CE3D6F" w:rsidRPr="00CE3D6F" w:rsidRDefault="00CE3D6F" w:rsidP="00CE3D6F">
      <w:pPr>
        <w:spacing w:line="240" w:lineRule="auto"/>
      </w:pPr>
      <w:r w:rsidRPr="00CE3D6F">
        <w:t xml:space="preserve">SB: </w:t>
      </w:r>
      <w:hyperlink r:id="rId8" w:history="1">
        <w:r w:rsidRPr="00CE3D6F">
          <w:rPr>
            <w:color w:val="0563C1" w:themeColor="hyperlink"/>
            <w:u w:val="single"/>
          </w:rPr>
          <w:t>sadie.bell@lshtm.ac.uk</w:t>
        </w:r>
      </w:hyperlink>
      <w:r w:rsidRPr="00CE3D6F">
        <w:tab/>
      </w:r>
    </w:p>
    <w:p w:rsidR="00CE3D6F" w:rsidRPr="00CE3D6F" w:rsidRDefault="00CE3D6F" w:rsidP="00CE3D6F">
      <w:pPr>
        <w:spacing w:line="240" w:lineRule="auto"/>
      </w:pPr>
      <w:r w:rsidRPr="00CE3D6F">
        <w:t xml:space="preserve">JA: </w:t>
      </w:r>
      <w:hyperlink r:id="rId9" w:history="1">
        <w:r w:rsidRPr="00CE3D6F">
          <w:rPr>
            <w:color w:val="0563C1" w:themeColor="hyperlink"/>
            <w:u w:val="single"/>
          </w:rPr>
          <w:t>joy.adamson@newcastle.ac.uk</w:t>
        </w:r>
      </w:hyperlink>
    </w:p>
    <w:p w:rsidR="00CE3D6F" w:rsidRPr="00CE3D6F" w:rsidRDefault="00CE3D6F" w:rsidP="00CE3D6F">
      <w:pPr>
        <w:spacing w:line="240" w:lineRule="auto"/>
      </w:pPr>
      <w:r w:rsidRPr="00CE3D6F">
        <w:t xml:space="preserve">FM: </w:t>
      </w:r>
      <w:hyperlink r:id="rId10" w:history="1">
        <w:r w:rsidRPr="00CE3D6F">
          <w:rPr>
            <w:color w:val="0563C1" w:themeColor="hyperlink"/>
            <w:u w:val="single"/>
          </w:rPr>
          <w:t>fabiola.martin@hyms.ac.uk</w:t>
        </w:r>
      </w:hyperlink>
      <w:r w:rsidRPr="00CE3D6F">
        <w:t xml:space="preserve"> </w:t>
      </w:r>
    </w:p>
    <w:p w:rsidR="00CE3D6F" w:rsidRPr="00CE3D6F" w:rsidRDefault="00CE3D6F" w:rsidP="00CE3D6F">
      <w:pPr>
        <w:spacing w:line="240" w:lineRule="auto"/>
      </w:pPr>
      <w:r w:rsidRPr="00CE3D6F">
        <w:t xml:space="preserve">TD: </w:t>
      </w:r>
      <w:hyperlink r:id="rId11" w:history="1">
        <w:r w:rsidRPr="00CE3D6F">
          <w:rPr>
            <w:color w:val="0563C1" w:themeColor="hyperlink"/>
            <w:u w:val="single"/>
          </w:rPr>
          <w:t>tim.doran@york.ac.uk</w:t>
        </w:r>
      </w:hyperlink>
      <w:r w:rsidRPr="00CE3D6F">
        <w:t xml:space="preserve"> </w:t>
      </w:r>
    </w:p>
    <w:p w:rsidR="00CE3D6F" w:rsidRPr="00CE3D6F" w:rsidRDefault="00CE3D6F" w:rsidP="00CE3D6F">
      <w:pPr>
        <w:spacing w:line="240" w:lineRule="auto"/>
      </w:pPr>
    </w:p>
    <w:p w:rsidR="00CE3D6F" w:rsidRPr="00CE3D6F" w:rsidRDefault="00CE3D6F" w:rsidP="00CE3D6F">
      <w:pPr>
        <w:spacing w:line="240" w:lineRule="auto"/>
      </w:pPr>
      <w:r w:rsidRPr="00CE3D6F">
        <w:t>Key words: HIV testing, older adults, sexual health services, adults aged 50+ years, inequalities in HIV testing, HIV testing barriers</w:t>
      </w:r>
    </w:p>
    <w:p w:rsidR="0080702C" w:rsidRDefault="0080702C" w:rsidP="00CE3D6F"/>
    <w:p w:rsidR="0080702C" w:rsidRDefault="0080702C" w:rsidP="00CE3D6F"/>
    <w:p w:rsidR="0080702C" w:rsidRDefault="0080702C" w:rsidP="00CE3D6F">
      <w:pPr>
        <w:sectPr w:rsidR="0080702C" w:rsidSect="00CE3D6F">
          <w:headerReference w:type="default" r:id="rId12"/>
          <w:footerReference w:type="default" r:id="rId13"/>
          <w:pgSz w:w="11906" w:h="16838"/>
          <w:pgMar w:top="1440" w:right="1440" w:bottom="1440" w:left="1440" w:header="708" w:footer="708" w:gutter="0"/>
          <w:cols w:space="708"/>
          <w:titlePg/>
          <w:docGrid w:linePitch="360"/>
        </w:sectPr>
      </w:pPr>
      <w:r>
        <w:t>***Figures and tables on pages 11 to 17.</w:t>
      </w:r>
    </w:p>
    <w:p w:rsidR="00CE3D6F" w:rsidRPr="008D7C20" w:rsidRDefault="00CE3D6F" w:rsidP="00CE3D6F">
      <w:pPr>
        <w:spacing w:line="360" w:lineRule="auto"/>
        <w:rPr>
          <w:u w:val="single"/>
          <w:lang w:val="en"/>
        </w:rPr>
      </w:pPr>
      <w:r w:rsidRPr="008D7C20">
        <w:rPr>
          <w:u w:val="single"/>
        </w:rPr>
        <w:t>Abstract</w:t>
      </w:r>
    </w:p>
    <w:p w:rsidR="00CE3D6F" w:rsidRPr="00130F83" w:rsidRDefault="00CE3D6F" w:rsidP="00CE3D6F">
      <w:pPr>
        <w:spacing w:line="360" w:lineRule="auto"/>
      </w:pPr>
      <w:r w:rsidRPr="00130F83">
        <w:t>Older adults with HIV are at increased risk of late diagnosis. We aimed to explore the association between age and HIV testing rates in sexual health clinics in England using Public Health England data for 2009–2014. We investigated associations between attendee age and likelihood of HIV test offer, acceptance, and coverage. For each year, increasing age was associated with reduced likelihood of test offer (Rs −0.797 to −0.958, p &lt; 0·01). Offer rates were highest for men who have sex with men (MSM), and lowest for heterosexual females (HSFs). HSFs had the greatest decline in offer rates with age (from 86.2% for age 25–29 to 52.1% for age 70+ in 2014). Odds ratios for test offer in 2014 for attendees aged 15–49 compared with attendees aged 50+ were 1.94 (95%CI: 1.88, 2.00) for heterosexual males (HSMs), 1.86 (95%CI: 1.81, 1.91) for HSFs, and 1.54 (95%CI: 1.45, 1.64) for MSM. Overall, there was no significant association between age and test acceptance in any year (Rs −0.070 to −0.547; p &gt; 0·05). The strongest determinant of acceptance was sexual orientation; for attendees aged 50+, compared with HSMs, acceptance was higher for MSM (OR: 1.10; 95%CI: 1.06, 1.13) and lower for HSFs (OR: 0.30; 95%CI: 0.30, 0.31).</w:t>
      </w:r>
    </w:p>
    <w:p w:rsidR="00CE3D6F" w:rsidRDefault="00CE3D6F" w:rsidP="00CE3D6F">
      <w:pPr>
        <w:spacing w:line="360" w:lineRule="auto"/>
        <w:sectPr w:rsidR="00CE3D6F">
          <w:pgSz w:w="11906" w:h="16838"/>
          <w:pgMar w:top="1440" w:right="1440" w:bottom="1440" w:left="1440" w:header="708" w:footer="708" w:gutter="0"/>
          <w:cols w:space="708"/>
          <w:docGrid w:linePitch="360"/>
        </w:sectPr>
      </w:pPr>
      <w:r w:rsidRPr="00130F83">
        <w:t>Keywords</w:t>
      </w:r>
      <w:r w:rsidR="008D7C20">
        <w:t>:</w:t>
      </w:r>
      <w:r w:rsidRPr="00130F83">
        <w:t xml:space="preserve"> </w:t>
      </w:r>
      <w:hyperlink r:id="rId14" w:history="1">
        <w:r w:rsidRPr="00130F83">
          <w:t>HIV</w:t>
        </w:r>
      </w:hyperlink>
      <w:r w:rsidRPr="00130F83">
        <w:t xml:space="preserve">, </w:t>
      </w:r>
      <w:hyperlink r:id="rId15" w:history="1">
        <w:r w:rsidRPr="00130F83">
          <w:t>diagnosis</w:t>
        </w:r>
      </w:hyperlink>
      <w:r w:rsidRPr="00130F83">
        <w:t xml:space="preserve">, </w:t>
      </w:r>
      <w:hyperlink r:id="rId16" w:history="1">
        <w:r w:rsidRPr="00130F83">
          <w:t>epidemiology, older adults, testing</w:t>
        </w:r>
      </w:hyperlink>
    </w:p>
    <w:p w:rsidR="00CE3D6F" w:rsidRPr="00CE3D6F" w:rsidRDefault="00CE3D6F" w:rsidP="00CE3D6F">
      <w:pPr>
        <w:spacing w:line="360" w:lineRule="auto"/>
        <w:rPr>
          <w:u w:val="single"/>
        </w:rPr>
      </w:pPr>
      <w:bookmarkStart w:id="0" w:name="_i1"/>
      <w:bookmarkEnd w:id="0"/>
      <w:r w:rsidRPr="00CE3D6F">
        <w:rPr>
          <w:u w:val="single"/>
        </w:rPr>
        <w:t>Introduction</w:t>
      </w:r>
    </w:p>
    <w:p w:rsidR="00CE3D6F" w:rsidRPr="00130F83" w:rsidRDefault="00CE3D6F" w:rsidP="00CE3D6F">
      <w:pPr>
        <w:spacing w:line="360" w:lineRule="auto"/>
      </w:pPr>
      <w:r w:rsidRPr="00130F83">
        <w:t>A major obstacle to tackling HIV is people being unaware of having the infection. In 2016, the United Nations Secretary General reported that only half an estimated 36.7 million people living with HIV worldwide were aware of their infection.</w:t>
      </w:r>
      <w:hyperlink r:id="rId17" w:history="1">
        <w:r w:rsidRPr="00601713">
          <w:rPr>
            <w:vertAlign w:val="superscript"/>
          </w:rPr>
          <w:t>1</w:t>
        </w:r>
      </w:hyperlink>
      <w:r w:rsidRPr="00601713">
        <w:rPr>
          <w:vertAlign w:val="superscript"/>
        </w:rPr>
        <w:t>,</w:t>
      </w:r>
      <w:hyperlink r:id="rId18" w:history="1">
        <w:r w:rsidRPr="00601713">
          <w:rPr>
            <w:vertAlign w:val="superscript"/>
          </w:rPr>
          <w:t>2</w:t>
        </w:r>
      </w:hyperlink>
      <w:r w:rsidRPr="00130F83">
        <w:t xml:space="preserve"> Levels of awareness are greater in the UK, but even here it is estimated that over 13,000 people (13% of all cases) are living with undiagnosed HIV.</w:t>
      </w:r>
      <w:hyperlink r:id="rId19" w:history="1">
        <w:r w:rsidRPr="00601713">
          <w:rPr>
            <w:vertAlign w:val="superscript"/>
          </w:rPr>
          <w:t>3</w:t>
        </w:r>
      </w:hyperlink>
      <w:r w:rsidRPr="00130F83">
        <w:t xml:space="preserve"> Globally, UNAIDS aims to increase the proportion of people aware of their HIV status to 90% by 2020.</w:t>
      </w:r>
      <w:r w:rsidRPr="00601713">
        <w:rPr>
          <w:vertAlign w:val="superscript"/>
        </w:rPr>
        <w:t>4</w:t>
      </w:r>
      <w:r w:rsidRPr="00130F83">
        <w:t xml:space="preserve"> To encourage HIV test uptake the World Health Organisation has endorsed the offer of testing in a range of healthcare and community settings.</w:t>
      </w:r>
      <w:hyperlink r:id="rId20" w:history="1">
        <w:r w:rsidRPr="00601713">
          <w:rPr>
            <w:vertAlign w:val="superscript"/>
          </w:rPr>
          <w:t>5</w:t>
        </w:r>
      </w:hyperlink>
      <w:r w:rsidRPr="00601713">
        <w:rPr>
          <w:vertAlign w:val="superscript"/>
        </w:rPr>
        <w:t>–</w:t>
      </w:r>
      <w:hyperlink r:id="rId21" w:history="1">
        <w:r w:rsidRPr="00601713">
          <w:rPr>
            <w:vertAlign w:val="superscript"/>
          </w:rPr>
          <w:t>7</w:t>
        </w:r>
      </w:hyperlink>
      <w:r w:rsidRPr="00130F83">
        <w:t xml:space="preserve"> UK National Guidelines for HIV Testing 2008 recommend universal testing in several healthcare facilities including sexual health and antenatal services.</w:t>
      </w:r>
      <w:hyperlink r:id="rId22" w:history="1">
        <w:r w:rsidRPr="00601713">
          <w:rPr>
            <w:vertAlign w:val="superscript"/>
          </w:rPr>
          <w:t>8</w:t>
        </w:r>
      </w:hyperlink>
      <w:r w:rsidRPr="00601713">
        <w:rPr>
          <w:vertAlign w:val="superscript"/>
        </w:rPr>
        <w:t>–</w:t>
      </w:r>
      <w:hyperlink r:id="rId23" w:history="1">
        <w:r w:rsidRPr="00601713">
          <w:rPr>
            <w:vertAlign w:val="superscript"/>
          </w:rPr>
          <w:t>10</w:t>
        </w:r>
      </w:hyperlink>
      <w:r w:rsidRPr="00130F83">
        <w:t xml:space="preserve"> Universal testing is recommended for new general practice registrants and hospital admissions in areas of high HIV prevalence (≥2 cases per 1000 population aged 15–59 years).</w:t>
      </w:r>
      <w:hyperlink r:id="rId24" w:history="1">
        <w:r w:rsidRPr="00601713">
          <w:rPr>
            <w:vertAlign w:val="superscript"/>
          </w:rPr>
          <w:t>9</w:t>
        </w:r>
      </w:hyperlink>
      <w:r w:rsidRPr="00601713">
        <w:rPr>
          <w:vertAlign w:val="superscript"/>
        </w:rPr>
        <w:t>,</w:t>
      </w:r>
      <w:hyperlink r:id="rId25" w:history="1">
        <w:r w:rsidRPr="00601713">
          <w:rPr>
            <w:vertAlign w:val="superscript"/>
          </w:rPr>
          <w:t>10</w:t>
        </w:r>
      </w:hyperlink>
      <w:r w:rsidRPr="00130F83">
        <w:t xml:space="preserve"> These recommendations intend to increase testing and reduce late HIV diagnoses (defined as CD4 cell count &lt;350 cells/µl within three months of diagnosis).</w:t>
      </w:r>
      <w:hyperlink r:id="rId26" w:history="1">
        <w:r w:rsidRPr="00601713">
          <w:rPr>
            <w:vertAlign w:val="superscript"/>
          </w:rPr>
          <w:t>9</w:t>
        </w:r>
      </w:hyperlink>
      <w:r w:rsidRPr="00130F83">
        <w:t xml:space="preserve"> Late diagnosis is associated with significantly poorer immediate and long-term health outcomes, greater likelihood of HIV transmission, and higher treatment costs.</w:t>
      </w:r>
      <w:hyperlink r:id="rId27" w:history="1">
        <w:r w:rsidRPr="00601713">
          <w:rPr>
            <w:vertAlign w:val="superscript"/>
          </w:rPr>
          <w:t>11</w:t>
        </w:r>
      </w:hyperlink>
      <w:r w:rsidRPr="00601713">
        <w:rPr>
          <w:vertAlign w:val="superscript"/>
        </w:rPr>
        <w:t>–</w:t>
      </w:r>
      <w:hyperlink r:id="rId28" w:history="1">
        <w:r w:rsidRPr="00601713">
          <w:rPr>
            <w:vertAlign w:val="superscript"/>
          </w:rPr>
          <w:t>15</w:t>
        </w:r>
      </w:hyperlink>
    </w:p>
    <w:p w:rsidR="00CE3D6F" w:rsidRPr="00130F83" w:rsidRDefault="00CE3D6F" w:rsidP="00CE3D6F">
      <w:pPr>
        <w:spacing w:line="360" w:lineRule="auto"/>
      </w:pPr>
      <w:r w:rsidRPr="00130F83">
        <w:t>Older adults, aged 50+ years, are at increased risk of late HIV diagnosis.</w:t>
      </w:r>
      <w:hyperlink r:id="rId29" w:history="1">
        <w:r w:rsidRPr="00601713">
          <w:rPr>
            <w:vertAlign w:val="superscript"/>
          </w:rPr>
          <w:t>16</w:t>
        </w:r>
      </w:hyperlink>
      <w:r w:rsidRPr="00130F83">
        <w:t xml:space="preserve"> A comparison of UK reports for 2000 and 2015 shows the number of new HIV diagnoses per annum in the over 50s more than trebled, from 333 to 1018 cases,</w:t>
      </w:r>
      <w:hyperlink r:id="rId30" w:history="1">
        <w:r w:rsidRPr="00601713">
          <w:rPr>
            <w:vertAlign w:val="superscript"/>
          </w:rPr>
          <w:t>17</w:t>
        </w:r>
      </w:hyperlink>
      <w:r w:rsidRPr="00130F83">
        <w:t xml:space="preserve"> and 58% of those diagnosed in 2013 received a late HIV diagnosis compared to 39% of 15- to 49-year-olds.</w:t>
      </w:r>
      <w:hyperlink r:id="rId31" w:history="1">
        <w:r w:rsidRPr="00601713">
          <w:rPr>
            <w:vertAlign w:val="superscript"/>
          </w:rPr>
          <w:t>18</w:t>
        </w:r>
      </w:hyperlink>
      <w:r w:rsidRPr="00130F83">
        <w:t xml:space="preserve"> In the over 50s, prompt HIV diagnosis and treatment is particularly crucial as the absolute risk of developing acquired immunodeficiency syndrome (AIDS) increases with advancing age.</w:t>
      </w:r>
      <w:hyperlink r:id="rId32" w:history="1">
        <w:r w:rsidRPr="00601713">
          <w:rPr>
            <w:vertAlign w:val="superscript"/>
          </w:rPr>
          <w:t>19</w:t>
        </w:r>
      </w:hyperlink>
      <w:r w:rsidRPr="00130F83">
        <w:t xml:space="preserve"> A key factor associated with increased late diagnoses in older adults is a misjudged risk assessment. HIV has historically been portrayed as a young person’s disease</w:t>
      </w:r>
      <w:hyperlink r:id="rId33" w:history="1">
        <w:r w:rsidRPr="00601713">
          <w:rPr>
            <w:vertAlign w:val="superscript"/>
          </w:rPr>
          <w:t>16</w:t>
        </w:r>
      </w:hyperlink>
      <w:r w:rsidRPr="00130F83">
        <w:t xml:space="preserve"> and this may prevent older adults from considering themselves at risk of infection.</w:t>
      </w:r>
      <w:hyperlink r:id="rId34" w:history="1">
        <w:r w:rsidRPr="00601713">
          <w:rPr>
            <w:vertAlign w:val="superscript"/>
          </w:rPr>
          <w:t>20</w:t>
        </w:r>
      </w:hyperlink>
      <w:r w:rsidRPr="00601713">
        <w:rPr>
          <w:vertAlign w:val="superscript"/>
        </w:rPr>
        <w:t>,</w:t>
      </w:r>
      <w:hyperlink r:id="rId35" w:history="1">
        <w:r w:rsidRPr="00601713">
          <w:rPr>
            <w:vertAlign w:val="superscript"/>
          </w:rPr>
          <w:t>21</w:t>
        </w:r>
      </w:hyperlink>
      <w:r w:rsidRPr="00130F83">
        <w:t xml:space="preserve"> Similarly, clinicians may be unaware of the increasing HIV prevalence in older populations, and HIV infection may not be considered in the differential diagnosis of symptoms associated with HIV/AIDS.</w:t>
      </w:r>
      <w:hyperlink r:id="rId36" w:history="1">
        <w:r w:rsidRPr="00601713">
          <w:rPr>
            <w:vertAlign w:val="superscript"/>
          </w:rPr>
          <w:t>22</w:t>
        </w:r>
      </w:hyperlink>
    </w:p>
    <w:p w:rsidR="00CE3D6F" w:rsidRPr="00130F83" w:rsidRDefault="00CE3D6F" w:rsidP="00CE3D6F">
      <w:pPr>
        <w:spacing w:line="360" w:lineRule="auto"/>
      </w:pPr>
      <w:r w:rsidRPr="00130F83">
        <w:t>Given the higher mortality and morbidity associated with late HIV diagnosis in older adults, compounded by their greater risk of late diagnosis, we explored the potential reasons for lack of HIV testing coverage in older age groups. This is the first study which has aimed to examine the associations between age and sexual orientation and the offer, acceptance, and coverage of HIV testing in England.</w:t>
      </w:r>
    </w:p>
    <w:p w:rsidR="00CE3D6F" w:rsidRDefault="00CE3D6F" w:rsidP="00CE3D6F">
      <w:pPr>
        <w:spacing w:line="360" w:lineRule="auto"/>
      </w:pPr>
      <w:bookmarkStart w:id="1" w:name="_i2"/>
      <w:bookmarkEnd w:id="1"/>
    </w:p>
    <w:p w:rsidR="00CE3D6F" w:rsidRPr="00CE3D6F" w:rsidRDefault="00CE3D6F" w:rsidP="00CE3D6F">
      <w:pPr>
        <w:spacing w:line="360" w:lineRule="auto"/>
        <w:rPr>
          <w:u w:val="single"/>
        </w:rPr>
      </w:pPr>
      <w:r w:rsidRPr="00CE3D6F">
        <w:rPr>
          <w:u w:val="single"/>
        </w:rPr>
        <w:t>Methods</w:t>
      </w:r>
    </w:p>
    <w:p w:rsidR="00CE3D6F" w:rsidRPr="00130F83" w:rsidRDefault="00CE3D6F" w:rsidP="00CE3D6F">
      <w:pPr>
        <w:spacing w:line="360" w:lineRule="auto"/>
      </w:pPr>
      <w:r w:rsidRPr="00130F83">
        <w:t>Anonymised attendance and HIV testing data for years 2009–2014 for all sexual health clinics in England were obtained from Public Health England (PHE). It is mandatory for sexual health clinics to collect these data. Attendance data relate to the number of people attending sexual health clinics per annum that are considered eligible for HIV testing (e.g. not already diagnosed with HIV). Testing data relate to the number of eligible attendees that were (i) offered and (ii) accepted the offer of an HIV test.</w:t>
      </w:r>
    </w:p>
    <w:p w:rsidR="00CE3D6F" w:rsidRPr="00130F83" w:rsidRDefault="00CE3D6F" w:rsidP="00CE3D6F">
      <w:pPr>
        <w:spacing w:line="360" w:lineRule="auto"/>
      </w:pPr>
      <w:r w:rsidRPr="00130F83">
        <w:t>PHE HIV testing data are routinely presented in broad age bands.</w:t>
      </w:r>
      <w:hyperlink r:id="rId37" w:history="1">
        <w:r w:rsidRPr="0080702C">
          <w:rPr>
            <w:vertAlign w:val="superscript"/>
          </w:rPr>
          <w:t>18</w:t>
        </w:r>
      </w:hyperlink>
      <w:r w:rsidRPr="0080702C">
        <w:rPr>
          <w:vertAlign w:val="superscript"/>
        </w:rPr>
        <w:t>,</w:t>
      </w:r>
      <w:hyperlink r:id="rId38" w:history="1">
        <w:r w:rsidRPr="0080702C">
          <w:rPr>
            <w:vertAlign w:val="superscript"/>
          </w:rPr>
          <w:t>23</w:t>
        </w:r>
      </w:hyperlink>
      <w:r w:rsidRPr="00130F83">
        <w:t xml:space="preserve"> For the purpose of this study, we requested data in five-year age brackets from age 15 years to 70 years. To protect anonymity attendees over 70 years were categorised by PHE into one age bracket.</w:t>
      </w:r>
    </w:p>
    <w:p w:rsidR="00CE3D6F" w:rsidRPr="00130F83" w:rsidRDefault="00CE3D6F" w:rsidP="00CE3D6F">
      <w:pPr>
        <w:spacing w:line="360" w:lineRule="auto"/>
      </w:pPr>
      <w:r w:rsidRPr="00130F83">
        <w:t>For each year, we measured associations between age and the likelihood of (i) test offer, (ii) test offer acceptance, and (iii) coverage, i.e. the proportion of eligible sexual health clinic attendees that are actually tested for HIV. We then measured these associations by self-reported sexual orientation as categorised by PHE: heterosexual males (HSMs), heterosexual females (HSFs) and men who have sex with men (MSM). PHE categorises attenders into sexual orientation groups based on the greatest HIV risk group attendees report sexual contact with; for example, bisexual males are reported as MSM and bisexual females as heterosexual. The number of women who have sex with women was too low for a meaningful analysis (0.2% of total attendees in 2014) and was not separately assessed.</w:t>
      </w:r>
    </w:p>
    <w:p w:rsidR="00CE3D6F" w:rsidRPr="00130F83" w:rsidRDefault="00CE3D6F" w:rsidP="00CE3D6F">
      <w:pPr>
        <w:spacing w:line="360" w:lineRule="auto"/>
      </w:pPr>
      <w:r w:rsidRPr="00130F83">
        <w:t>Associations were measured using Spearman’s rank correlation coefficients. Binary comparisons of the odds of offer and acceptance of testing by gender and sexual risk group were assessed using logistic regression modelling. We hypothesised that with advancing age the likelihood of attendees being offered and accepting an HIV test would decline, irrespective of sexual risk group or year. The null hypothesis was that there would be no variation by age in test offer or acceptance. Data management and analysis were performed using Excel and SPSS Version 23.0.</w:t>
      </w:r>
    </w:p>
    <w:p w:rsidR="00CE3D6F" w:rsidRPr="00CE3D6F" w:rsidRDefault="00CE3D6F" w:rsidP="00CE3D6F">
      <w:pPr>
        <w:spacing w:line="360" w:lineRule="auto"/>
        <w:rPr>
          <w:u w:val="single"/>
        </w:rPr>
      </w:pPr>
      <w:bookmarkStart w:id="2" w:name="_i3"/>
      <w:bookmarkEnd w:id="2"/>
      <w:r w:rsidRPr="00CE3D6F">
        <w:rPr>
          <w:u w:val="single"/>
        </w:rPr>
        <w:t>Results</w:t>
      </w:r>
    </w:p>
    <w:p w:rsidR="00CE3D6F" w:rsidRDefault="00CE3D6F" w:rsidP="00CE3D6F">
      <w:pPr>
        <w:spacing w:line="360" w:lineRule="auto"/>
      </w:pPr>
      <w:r w:rsidRPr="00130F83">
        <w:t>In order to be tested for HIV infection, service users must attend a sexual health clinic, be offered testing, and accept testing. We present results for each of these stages by age and risk group, so that the cause of different levels of test coverage between groups can be determined. We conclude by reporting overall rates of test coverage (the proportion of attendees who are tested).</w:t>
      </w:r>
    </w:p>
    <w:p w:rsidR="00CE3D6F" w:rsidRDefault="00CE3D6F" w:rsidP="00CE3D6F">
      <w:pPr>
        <w:spacing w:line="360" w:lineRule="auto"/>
      </w:pPr>
    </w:p>
    <w:p w:rsidR="00CE3D6F" w:rsidRPr="00130F83" w:rsidRDefault="00CE3D6F" w:rsidP="00CE3D6F">
      <w:pPr>
        <w:spacing w:line="360" w:lineRule="auto"/>
      </w:pPr>
    </w:p>
    <w:p w:rsidR="00CE3D6F" w:rsidRPr="00CE3D6F" w:rsidRDefault="00CE3D6F" w:rsidP="00CE3D6F">
      <w:pPr>
        <w:spacing w:line="360" w:lineRule="auto"/>
        <w:rPr>
          <w:i/>
        </w:rPr>
      </w:pPr>
      <w:r w:rsidRPr="00CE3D6F">
        <w:rPr>
          <w:i/>
        </w:rPr>
        <w:t>Attendance</w:t>
      </w:r>
    </w:p>
    <w:p w:rsidR="00CE3D6F" w:rsidRPr="00130F83" w:rsidRDefault="00CE3D6F" w:rsidP="00CE3D6F">
      <w:pPr>
        <w:spacing w:line="360" w:lineRule="auto"/>
      </w:pPr>
      <w:r w:rsidRPr="00130F83">
        <w:t xml:space="preserve">Between 2009 and 2014 the overall number of sexual health clinic attendees that were eligible for HIV testing increased by 33.7% (from 1,076,466 to 1,439,212). The number of attendees aged 15–49 years increased by 32.3% during this time period (1,020,968 to 1,350,563) whilst attendees aged 50+ years increased by 59.3% (50,917 to 81,136). The number of attendees in each year is given in </w:t>
      </w:r>
      <w:hyperlink r:id="rId39" w:history="1">
        <w:r w:rsidRPr="00130F83">
          <w:t>Table A1</w:t>
        </w:r>
      </w:hyperlink>
      <w:r w:rsidRPr="00130F83">
        <w:t xml:space="preserve"> (online Appendix).</w:t>
      </w:r>
    </w:p>
    <w:p w:rsidR="00CE3D6F" w:rsidRPr="00130F83" w:rsidRDefault="00CE3D6F" w:rsidP="00CE3D6F">
      <w:pPr>
        <w:spacing w:line="360" w:lineRule="auto"/>
      </w:pPr>
      <w:r w:rsidRPr="00130F83">
        <w:t>For each year, higher numbers of men than women in the 50+ age group accessed sexual health clinics: for example, in 2014, there were approximately 56.9% more male attendees aged 50+ years than females (n = 49,553 males; n = 31,589 females) (</w:t>
      </w:r>
      <w:hyperlink r:id="rId40" w:history="1">
        <w:r w:rsidRPr="00130F83">
          <w:t>Table 1</w:t>
        </w:r>
      </w:hyperlink>
      <w:r w:rsidRPr="00130F83">
        <w:t>). The reverse was found for younger adults: for example, in 2014, there were approximately 35.5% more female attendees aged 15–49 years than males (n = 573,451 males; n = 776,858 females). For each year, the majority of sexual health clinic attendees aged 15–49 years were HSFs (2014: 54.0%; n = 729,261/1,350,563); however, in attendees aged 50+ years the largest group was HSMs (2014: 44.5%; n = 36,115/81,136) (</w:t>
      </w:r>
      <w:hyperlink r:id="rId41" w:history="1">
        <w:r w:rsidRPr="00130F83">
          <w:t>Table 1</w:t>
        </w:r>
      </w:hyperlink>
      <w:r w:rsidRPr="00130F83">
        <w:t xml:space="preserve">; </w:t>
      </w:r>
      <w:hyperlink r:id="rId42" w:history="1">
        <w:r w:rsidRPr="00130F83">
          <w:t>Table A1</w:t>
        </w:r>
      </w:hyperlink>
      <w:r w:rsidRPr="00130F83">
        <w:t>).</w:t>
      </w:r>
    </w:p>
    <w:p w:rsidR="00CE3D6F" w:rsidRPr="00CE3D6F" w:rsidRDefault="00CE3D6F" w:rsidP="00CE3D6F">
      <w:pPr>
        <w:spacing w:line="360" w:lineRule="auto"/>
        <w:rPr>
          <w:i/>
        </w:rPr>
      </w:pPr>
      <w:r w:rsidRPr="00CE3D6F">
        <w:rPr>
          <w:i/>
        </w:rPr>
        <w:t>Test offer to attendees</w:t>
      </w:r>
    </w:p>
    <w:p w:rsidR="00CE3D6F" w:rsidRPr="00130F83" w:rsidRDefault="00CE3D6F" w:rsidP="00CE3D6F">
      <w:pPr>
        <w:spacing w:line="360" w:lineRule="auto"/>
      </w:pPr>
      <w:r w:rsidRPr="00130F83">
        <w:t>Attendees in the 25–29-year age group had the highest likelihood of receiving an offer of HIV testing (88.0% overall in 2014), with the proportion of attendees receiving an offer declining with age (</w:t>
      </w:r>
      <w:hyperlink r:id="rId43" w:tooltip="Open Figure Viewer" w:history="1">
        <w:r w:rsidRPr="00130F83">
          <w:t>Figure 1</w:t>
        </w:r>
      </w:hyperlink>
      <w:r w:rsidRPr="00130F83">
        <w:t>). Only 70.3% of attendees in the over 70 age group were offered testing in 2014, 18 percentage points lower than for 25- to 29-year-olds. The decline in the likelihood of offer was steepest for HSFs after the age of 50, falling to a low of 52.1% in the over 70s. Offer rates for HSMs and MSM in 2014 were very similar up to the age of 50–54, after which rates continued to fall for HSMs but remained stable for MSM. In the over 70 age group, offer rates for MSM were 86.9%, 11 percentage points higher than for HSMs and 34.8% higher than for HSFs.</w:t>
      </w:r>
    </w:p>
    <w:p w:rsidR="00CE3D6F" w:rsidRPr="00130F83" w:rsidRDefault="00CE3D6F" w:rsidP="00CE3D6F">
      <w:pPr>
        <w:spacing w:line="360" w:lineRule="auto"/>
      </w:pPr>
      <w:r w:rsidRPr="00130F83">
        <w:t>These gaps were even greater in previous years (</w:t>
      </w:r>
      <w:hyperlink r:id="rId44" w:tooltip="Open Figure Viewer" w:history="1">
        <w:r w:rsidRPr="00130F83">
          <w:t>Figure A1</w:t>
        </w:r>
      </w:hyperlink>
      <w:r w:rsidRPr="00130F83">
        <w:t>, online Appendix). Between 2009 and 2014 there were increases in the likelihood of offer for the 65–69 (69.8 to 77.1%) and 70+ (57.7 to 70.3%) age groups (</w:t>
      </w:r>
      <w:hyperlink r:id="rId45" w:history="1">
        <w:r w:rsidRPr="00130F83">
          <w:t>Table A1</w:t>
        </w:r>
      </w:hyperlink>
      <w:r w:rsidRPr="00130F83">
        <w:t xml:space="preserve"> and </w:t>
      </w:r>
      <w:hyperlink r:id="rId46" w:tooltip="Open Figure Viewer" w:history="1">
        <w:r w:rsidRPr="00130F83">
          <w:t>Figure A1a, o</w:t>
        </w:r>
      </w:hyperlink>
      <w:r w:rsidRPr="00130F83">
        <w:t>nline Appendix). In comparison, for adults aged 15–24 years, the percentage of attendees offered testing declined during this time period (87.7 to 82.1%). For every year and in every sexual risk group, the association between age and offer of HIV testing was statistically significant (P &lt; 0.001 in all cases) with increasing age associated with lower probability of test offer (Rs −0.797 to −0.988) (</w:t>
      </w:r>
      <w:hyperlink r:id="rId47" w:history="1">
        <w:r w:rsidRPr="00130F83">
          <w:t>Table A2</w:t>
        </w:r>
      </w:hyperlink>
      <w:r w:rsidRPr="00130F83">
        <w:t>, online Appendix).</w:t>
      </w:r>
    </w:p>
    <w:p w:rsidR="00CE3D6F" w:rsidRPr="00130F83" w:rsidRDefault="00CE3D6F" w:rsidP="00CE3D6F">
      <w:pPr>
        <w:spacing w:line="360" w:lineRule="auto"/>
      </w:pPr>
      <w:r w:rsidRPr="00130F83">
        <w:t>Following logistic regression modelling, the odds of being offered HIV testing in 2014 were found to be significantly higher for eligible attendees aged 15–49 years compared to eligible attendees aged 50+ years, for both genders and all sexual orientation groups (</w:t>
      </w:r>
      <w:hyperlink r:id="rId48" w:history="1">
        <w:r w:rsidRPr="00130F83">
          <w:t>Table 1</w:t>
        </w:r>
      </w:hyperlink>
      <w:r w:rsidRPr="00130F83">
        <w:t>). The odds ratios for test offer for attendees aged 15–49 compared with attendees aged 50+ in 2014 were 1.84 (95%CI: 1.79–1.89) for males and 1.86 (95%CI: 1.81–1.91) for females. By sexual orientation, the odds ratios for test offer for attendees aged 15–49 compared with attendees aged 50+ in 2014 were 1.94 (95%CI: 1.88–2.00) for HSMs, 1.86 (95%CI: 1.81–1.91) for HSFs and 1.54 (95%CI: 1.45–1.64) for MSM. Comparing sexual orientation groups, the odds of test offer in adults aged 50+ years in 2014 were highest for MSM and HSMs, and lowest for HSFs (</w:t>
      </w:r>
      <w:hyperlink r:id="rId49" w:history="1">
        <w:r w:rsidRPr="00130F83">
          <w:t>Table 2</w:t>
        </w:r>
      </w:hyperlink>
      <w:r w:rsidRPr="00130F83">
        <w:t>).</w:t>
      </w:r>
    </w:p>
    <w:p w:rsidR="00CE3D6F" w:rsidRPr="00CE3D6F" w:rsidRDefault="00CE3D6F" w:rsidP="00CE3D6F">
      <w:pPr>
        <w:spacing w:line="360" w:lineRule="auto"/>
        <w:rPr>
          <w:i/>
        </w:rPr>
      </w:pPr>
      <w:r w:rsidRPr="00CE3D6F">
        <w:rPr>
          <w:i/>
        </w:rPr>
        <w:t>Test acceptance after offer</w:t>
      </w:r>
    </w:p>
    <w:p w:rsidR="00CE3D6F" w:rsidRPr="00130F83" w:rsidRDefault="00CE3D6F" w:rsidP="00CE3D6F">
      <w:pPr>
        <w:spacing w:line="360" w:lineRule="auto"/>
      </w:pPr>
      <w:r w:rsidRPr="00130F83">
        <w:t>Overall, of attendees offered testing in 2014, those aged 55–59 and 65–69 years were the most likely to accept, and those aged 15–19 were least likely (</w:t>
      </w:r>
      <w:hyperlink r:id="rId50" w:tooltip="Open Figure Viewer" w:history="1">
        <w:r w:rsidRPr="00130F83">
          <w:t>Figure 2</w:t>
        </w:r>
      </w:hyperlink>
      <w:r w:rsidRPr="00130F83">
        <w:t>). Whilst rates of acceptance in every age group were highest for MSM and lowest for HSFs, the general patterns of acceptance across all age groups were broadly similar for all sexual orientation groups. Similar trends were evident in previous years (</w:t>
      </w:r>
      <w:hyperlink r:id="rId51" w:tooltip="Open Figure Viewer" w:history="1">
        <w:r w:rsidRPr="00130F83">
          <w:t>Figure A2</w:t>
        </w:r>
      </w:hyperlink>
      <w:r w:rsidRPr="00130F83">
        <w:t>, online Appendix).</w:t>
      </w:r>
    </w:p>
    <w:p w:rsidR="00CE3D6F" w:rsidRPr="00130F83" w:rsidRDefault="00CE3D6F" w:rsidP="00CE3D6F">
      <w:pPr>
        <w:spacing w:line="360" w:lineRule="auto"/>
      </w:pPr>
      <w:r w:rsidRPr="00130F83">
        <w:t xml:space="preserve">Given the patterns described above, the association between age and test acceptance was not as clear as for offer of testing. The association was only statistically significant in every year for MSM (P &lt; 0.05 in all cases: </w:t>
      </w:r>
      <w:hyperlink r:id="rId52" w:history="1">
        <w:r w:rsidRPr="00130F83">
          <w:t>Table A2</w:t>
        </w:r>
      </w:hyperlink>
      <w:r w:rsidRPr="00130F83">
        <w:t>, online Appendix), with increasing age associated with lower probability of test acceptance (Rs −0.600 to −0.954). However, for MSM, acceptance rates in each year were relatively high for all age groups. For example, in 2014, the difference between the 20–24 and over 70 age groups for MSM was only 3.8 percentage points, and acceptance rates in every age group from MSM were over 90%.</w:t>
      </w:r>
    </w:p>
    <w:p w:rsidR="00CE3D6F" w:rsidRPr="00130F83" w:rsidRDefault="00CE3D6F" w:rsidP="00CE3D6F">
      <w:pPr>
        <w:spacing w:line="360" w:lineRule="auto"/>
      </w:pPr>
      <w:r w:rsidRPr="00130F83">
        <w:t>Findings from logistic regression modelling (</w:t>
      </w:r>
      <w:hyperlink r:id="rId53" w:history="1">
        <w:r w:rsidRPr="00130F83">
          <w:t>Table 1</w:t>
        </w:r>
      </w:hyperlink>
      <w:r w:rsidRPr="00130F83">
        <w:t>) suggest that older MSM and HSMs are less likely to accept an HIV test than their younger comparators. For HSFs, attendees aged 50 years and over are slightly more likely to accept testing than their younger comparators. However, the strongest determinant of test acceptance was sexual orientation. For older attendees, compared with HSMs the odds of test acceptance are highest for MSM (OR = 1.10) and lowest for HSFs (OR = 0.30) (</w:t>
      </w:r>
      <w:hyperlink r:id="rId54" w:history="1">
        <w:r w:rsidRPr="00130F83">
          <w:t>Table 2</w:t>
        </w:r>
      </w:hyperlink>
      <w:r w:rsidRPr="00130F83">
        <w:t>).</w:t>
      </w:r>
    </w:p>
    <w:p w:rsidR="00CE3D6F" w:rsidRPr="00CE3D6F" w:rsidRDefault="00CE3D6F" w:rsidP="00CE3D6F">
      <w:pPr>
        <w:spacing w:line="360" w:lineRule="auto"/>
        <w:rPr>
          <w:i/>
        </w:rPr>
      </w:pPr>
      <w:r w:rsidRPr="00CE3D6F">
        <w:rPr>
          <w:i/>
        </w:rPr>
        <w:t>Test coverage</w:t>
      </w:r>
    </w:p>
    <w:p w:rsidR="00CE3D6F" w:rsidRPr="00130F83" w:rsidRDefault="00CE3D6F" w:rsidP="00CE3D6F">
      <w:pPr>
        <w:spacing w:line="360" w:lineRule="auto"/>
      </w:pPr>
      <w:r w:rsidRPr="00130F83">
        <w:t>Overall, 85.7% of attendees were offered testing, of whom 81.5% accepted (coverage rate of 69.9%). In 2014, attendees aged 25–29 years had the highest likelihood of HIV test coverage (72.7% overall), with the proportion of attendees being tested declining with age thereafter (</w:t>
      </w:r>
      <w:hyperlink r:id="rId55" w:tooltip="Open Figure Viewer" w:history="1">
        <w:r w:rsidRPr="00130F83">
          <w:t>Figure 3</w:t>
        </w:r>
      </w:hyperlink>
      <w:r w:rsidRPr="00130F83">
        <w:t>). The youngest and the oldest age group were least likely to be tested for HIV in 2014 (58.6% in 15–19 years; 56.7% in 70+ years). Between 2009 and 2014, the proportion of tests performed in each age group increased in the over 50s, particularly in attendees aged 65–69 (54.4–64.1%) and 70+ (44.5–56.7%), and declined in adults aged 15–49 years, particularly those aged 15–19 years (64.6–58.6%) (</w:t>
      </w:r>
      <w:hyperlink r:id="rId56" w:tooltip="Open Figure Viewer" w:history="1">
        <w:r w:rsidRPr="00130F83">
          <w:t>Figure A3</w:t>
        </w:r>
      </w:hyperlink>
      <w:r w:rsidRPr="00130F83">
        <w:t>, online Appendix).</w:t>
      </w:r>
    </w:p>
    <w:p w:rsidR="00CE3D6F" w:rsidRPr="00130F83" w:rsidRDefault="00CE3D6F" w:rsidP="00CE3D6F">
      <w:pPr>
        <w:spacing w:line="360" w:lineRule="auto"/>
      </w:pPr>
      <w:r w:rsidRPr="00130F83">
        <w:t>Test coverage varied considerably by sexual orientation. In 2014, HSFs were least likely to be tested at any age and had the sharpest fall in testing rates with increasing age: the likelihood of being tested dropped to just 37.3% in HSFs aged 70+ years, compared to 59.8% in HSMs and 80.8% in MSM (</w:t>
      </w:r>
      <w:hyperlink r:id="rId57" w:tooltip="Open Figure Viewer" w:history="1">
        <w:r w:rsidRPr="00130F83">
          <w:t>Figure 3</w:t>
        </w:r>
      </w:hyperlink>
      <w:r w:rsidRPr="00130F83">
        <w:t>). Similar trends were evident in preceding years (</w:t>
      </w:r>
      <w:hyperlink r:id="rId58" w:tooltip="Open Figure Viewer" w:history="1">
        <w:r w:rsidRPr="00130F83">
          <w:t>Figure A3</w:t>
        </w:r>
      </w:hyperlink>
      <w:r w:rsidRPr="00130F83">
        <w:t>, online Appendix). In every year the association between age and test coverage was statistically significant for HSMs and MSM, with increasing age associated with lower probability of being tested (Rs −0.734 to −0.951).</w:t>
      </w:r>
    </w:p>
    <w:p w:rsidR="00CE3D6F" w:rsidRPr="00130F83" w:rsidRDefault="00CE3D6F" w:rsidP="00CE3D6F">
      <w:pPr>
        <w:spacing w:line="360" w:lineRule="auto"/>
      </w:pPr>
      <w:r w:rsidRPr="00130F83">
        <w:t>Following logistic regression modelling, the odds of being tested for HIV in 2014 were significantly higher for eligible attendees aged 15–49 years compared to those aged 50+ years by gender and sexual orientation (</w:t>
      </w:r>
      <w:hyperlink r:id="rId59" w:history="1">
        <w:r w:rsidRPr="00130F83">
          <w:t>Table 1</w:t>
        </w:r>
      </w:hyperlink>
      <w:r w:rsidRPr="00130F83">
        <w:t>). The difference in the odds of being tested between age groups was greater for males than for females, but males, especially MSM, had a higher chance of being tested across all age groups (</w:t>
      </w:r>
      <w:hyperlink r:id="rId60" w:history="1">
        <w:r w:rsidRPr="00130F83">
          <w:t>Table A2</w:t>
        </w:r>
      </w:hyperlink>
      <w:r w:rsidRPr="00130F83">
        <w:t>, online Appendix).</w:t>
      </w:r>
    </w:p>
    <w:p w:rsidR="00CE3D6F" w:rsidRPr="00CE3D6F" w:rsidRDefault="00CE3D6F" w:rsidP="00CE3D6F">
      <w:pPr>
        <w:spacing w:line="360" w:lineRule="auto"/>
        <w:rPr>
          <w:u w:val="single"/>
        </w:rPr>
      </w:pPr>
      <w:bookmarkStart w:id="3" w:name="_i13"/>
      <w:bookmarkEnd w:id="3"/>
      <w:r w:rsidRPr="00CE3D6F">
        <w:rPr>
          <w:u w:val="single"/>
        </w:rPr>
        <w:t>Discussion</w:t>
      </w:r>
    </w:p>
    <w:p w:rsidR="00CE3D6F" w:rsidRPr="00130F83" w:rsidRDefault="00CE3D6F" w:rsidP="00CE3D6F">
      <w:pPr>
        <w:spacing w:line="360" w:lineRule="auto"/>
      </w:pPr>
      <w:r w:rsidRPr="00130F83">
        <w:t>We discovered that advancing age is significantly associated with a decreased likelihood of being tested for HIV in sexual health clinics in England. This was mainly attributable to a decline in the rate of test offer to older people, particularly to HSFs. This inequality in HIV test offer by age exists despite national and international recommendations of universal HIV testing in this setting.</w:t>
      </w:r>
      <w:hyperlink r:id="rId61" w:history="1">
        <w:r w:rsidRPr="00601713">
          <w:rPr>
            <w:vertAlign w:val="superscript"/>
          </w:rPr>
          <w:t>9</w:t>
        </w:r>
      </w:hyperlink>
      <w:r w:rsidRPr="00130F83">
        <w:t xml:space="preserve"> A major barrier reported to underpin lower test offers and a reluctance to discuss sexually transmitted infections (STIs) with older adults is the assumption that STIs affect the young, and that older adults do not engage in ‘risky’ unprotected sex.</w:t>
      </w:r>
      <w:hyperlink r:id="rId62" w:history="1">
        <w:r w:rsidRPr="00601713">
          <w:rPr>
            <w:vertAlign w:val="superscript"/>
          </w:rPr>
          <w:t>20</w:t>
        </w:r>
      </w:hyperlink>
      <w:r w:rsidRPr="00601713">
        <w:rPr>
          <w:vertAlign w:val="superscript"/>
        </w:rPr>
        <w:t>,</w:t>
      </w:r>
      <w:hyperlink r:id="rId63" w:history="1">
        <w:r w:rsidRPr="00601713">
          <w:rPr>
            <w:vertAlign w:val="superscript"/>
          </w:rPr>
          <w:t>24</w:t>
        </w:r>
      </w:hyperlink>
      <w:r w:rsidRPr="00130F83">
        <w:t xml:space="preserve"> This impression arguably stems historically from the STI and HIV prevention campaigns focusing mainly on younger adults.</w:t>
      </w:r>
      <w:hyperlink r:id="rId64" w:history="1">
        <w:r w:rsidRPr="00601713">
          <w:rPr>
            <w:vertAlign w:val="superscript"/>
          </w:rPr>
          <w:t>20</w:t>
        </w:r>
      </w:hyperlink>
      <w:r w:rsidRPr="00601713">
        <w:rPr>
          <w:vertAlign w:val="superscript"/>
        </w:rPr>
        <w:t>,</w:t>
      </w:r>
      <w:hyperlink r:id="rId65" w:history="1">
        <w:r w:rsidRPr="00601713">
          <w:rPr>
            <w:vertAlign w:val="superscript"/>
          </w:rPr>
          <w:t>25</w:t>
        </w:r>
      </w:hyperlink>
      <w:r w:rsidRPr="00601713">
        <w:rPr>
          <w:vertAlign w:val="superscript"/>
        </w:rPr>
        <w:t>–</w:t>
      </w:r>
      <w:hyperlink r:id="rId66" w:history="1">
        <w:r w:rsidRPr="00601713">
          <w:rPr>
            <w:vertAlign w:val="superscript"/>
          </w:rPr>
          <w:t>27</w:t>
        </w:r>
      </w:hyperlink>
      <w:r w:rsidRPr="00130F83">
        <w:t xml:space="preserve"> This fuels the perception that older people are not at risk of HIV transmission, an impression reinforced by the societal stereotype of the risk averse, asexual older adult.</w:t>
      </w:r>
      <w:hyperlink r:id="rId67" w:history="1">
        <w:r w:rsidRPr="00601713">
          <w:rPr>
            <w:vertAlign w:val="superscript"/>
          </w:rPr>
          <w:t>20</w:t>
        </w:r>
      </w:hyperlink>
    </w:p>
    <w:p w:rsidR="00CE3D6F" w:rsidRPr="00130F83" w:rsidRDefault="00CE3D6F" w:rsidP="00CE3D6F">
      <w:pPr>
        <w:spacing w:line="360" w:lineRule="auto"/>
      </w:pPr>
      <w:r w:rsidRPr="00130F83">
        <w:t>There is evidence that these misrepresentations may also influence clinicians. In general practice, stalemates on the issue of sexual health have been reported between patient and healthcare provider.</w:t>
      </w:r>
      <w:hyperlink r:id="rId68" w:history="1">
        <w:r w:rsidRPr="00601713">
          <w:rPr>
            <w:vertAlign w:val="superscript"/>
          </w:rPr>
          <w:t>28</w:t>
        </w:r>
      </w:hyperlink>
      <w:r w:rsidRPr="00601713">
        <w:rPr>
          <w:vertAlign w:val="superscript"/>
        </w:rPr>
        <w:t>,</w:t>
      </w:r>
      <w:hyperlink r:id="rId69" w:history="1">
        <w:r w:rsidRPr="00601713">
          <w:rPr>
            <w:vertAlign w:val="superscript"/>
          </w:rPr>
          <w:t>29</w:t>
        </w:r>
      </w:hyperlink>
      <w:r w:rsidRPr="00130F83">
        <w:t xml:space="preserve"> Older adults have been identified as reluctant to discuss their sexual health with a general practitioner,</w:t>
      </w:r>
      <w:hyperlink r:id="rId70" w:history="1">
        <w:r w:rsidRPr="00601713">
          <w:rPr>
            <w:vertAlign w:val="superscript"/>
          </w:rPr>
          <w:t>28</w:t>
        </w:r>
      </w:hyperlink>
      <w:r w:rsidRPr="00130F83">
        <w:t xml:space="preserve"> and healthcare professionals report being uncomfortable to raise the subject for fear of causing upset or embarrassment.</w:t>
      </w:r>
      <w:hyperlink r:id="rId71" w:history="1">
        <w:r w:rsidRPr="0080702C">
          <w:rPr>
            <w:vertAlign w:val="superscript"/>
          </w:rPr>
          <w:t>29</w:t>
        </w:r>
      </w:hyperlink>
      <w:r w:rsidRPr="0080702C">
        <w:rPr>
          <w:vertAlign w:val="superscript"/>
        </w:rPr>
        <w:t xml:space="preserve"> </w:t>
      </w:r>
      <w:r w:rsidRPr="00130F83">
        <w:t>However, in sexual health clinics this would be a less obvious explanation for the observed lower test offer rates for older attendees. There is a clear need to explore the factors associated with the test offer gap, and any barriers identified are likely to be even greater in settings with less clinical experience of managing HIV.</w:t>
      </w:r>
    </w:p>
    <w:p w:rsidR="00CE3D6F" w:rsidRPr="00CE3D6F" w:rsidRDefault="00CE3D6F" w:rsidP="00CE3D6F">
      <w:pPr>
        <w:spacing w:line="360" w:lineRule="auto"/>
        <w:rPr>
          <w:i/>
        </w:rPr>
      </w:pPr>
      <w:r w:rsidRPr="00CE3D6F">
        <w:rPr>
          <w:i/>
        </w:rPr>
        <w:t>Impact of sexual orientation and age on HIV testing</w:t>
      </w:r>
    </w:p>
    <w:p w:rsidR="00CE3D6F" w:rsidRPr="00130F83" w:rsidRDefault="00CE3D6F" w:rsidP="00CE3D6F">
      <w:pPr>
        <w:spacing w:line="360" w:lineRule="auto"/>
      </w:pPr>
      <w:r w:rsidRPr="00130F83">
        <w:t>MSM are disproportionately affected by HIV in the UK; 5.0% of MSM aged 15–44 years are living with HIV in contrast to approximately 0.1% of age-comparable HSMs and HSFs.</w:t>
      </w:r>
      <w:hyperlink r:id="rId72" w:history="1">
        <w:r w:rsidRPr="0080702C">
          <w:rPr>
            <w:vertAlign w:val="superscript"/>
          </w:rPr>
          <w:t>23</w:t>
        </w:r>
      </w:hyperlink>
      <w:r w:rsidRPr="00130F83">
        <w:t xml:space="preserve"> In response, MSM are consistently targeted in national HIV prevention and testing strategies.</w:t>
      </w:r>
      <w:hyperlink r:id="rId73" w:history="1">
        <w:r w:rsidRPr="00601713">
          <w:rPr>
            <w:vertAlign w:val="superscript"/>
          </w:rPr>
          <w:t>15</w:t>
        </w:r>
      </w:hyperlink>
      <w:r w:rsidRPr="00601713">
        <w:rPr>
          <w:vertAlign w:val="superscript"/>
        </w:rPr>
        <w:t>,</w:t>
      </w:r>
      <w:hyperlink r:id="rId74" w:history="1">
        <w:r w:rsidRPr="00601713">
          <w:rPr>
            <w:vertAlign w:val="superscript"/>
          </w:rPr>
          <w:t>30</w:t>
        </w:r>
      </w:hyperlink>
      <w:r w:rsidRPr="00601713">
        <w:rPr>
          <w:vertAlign w:val="superscript"/>
        </w:rPr>
        <w:t>–</w:t>
      </w:r>
      <w:hyperlink r:id="rId75" w:history="1">
        <w:r w:rsidRPr="00601713">
          <w:rPr>
            <w:vertAlign w:val="superscript"/>
          </w:rPr>
          <w:t>32</w:t>
        </w:r>
      </w:hyperlink>
      <w:r w:rsidRPr="00130F83">
        <w:t xml:space="preserve"> The success of these approaches can be shown by the low proportion of late HIV diagnoses and undiagnosed infections in MSM compared to other risk groups.</w:t>
      </w:r>
      <w:hyperlink r:id="rId76" w:history="1">
        <w:r w:rsidRPr="00601713">
          <w:rPr>
            <w:vertAlign w:val="superscript"/>
          </w:rPr>
          <w:t>23</w:t>
        </w:r>
      </w:hyperlink>
      <w:r w:rsidRPr="00130F83">
        <w:t xml:space="preserve"> The effectiveness of HIV strategies targeting MSM is reflected in our study by the high test uptake for MSM attending sexual health clinics; in every year, MSM had the highest rate of HIV testing and advancing age did not substantially reduce the likelihood of either being offered or accepting an HIV test.</w:t>
      </w:r>
    </w:p>
    <w:p w:rsidR="00CE3D6F" w:rsidRPr="00130F83" w:rsidRDefault="00CE3D6F" w:rsidP="00CE3D6F">
      <w:pPr>
        <w:spacing w:line="360" w:lineRule="auto"/>
      </w:pPr>
      <w:r w:rsidRPr="00130F83">
        <w:t>By falling outside of the MSM risk group, the probability of eligible HSM and HSF sexual health clinic attendees being offered an HIV test is lowered. This effect becomes more marked in older HSMs and HSFs, who are not only less likely to be offered a test due to their sexual orientation but also their age, despite attending clinics where universal HIV testing is recommended. HSFs are the least likely group to be offered HIV testing and are generally considered to be at lower HIV risk than HSMs, who are much more likely to report paying for sex, having sexual contact with someone from outside the UK, and are less likely to use condoms than HSFs.</w:t>
      </w:r>
      <w:hyperlink r:id="rId77" w:history="1">
        <w:r w:rsidRPr="0080702C">
          <w:rPr>
            <w:vertAlign w:val="superscript"/>
          </w:rPr>
          <w:t>33</w:t>
        </w:r>
      </w:hyperlink>
      <w:r w:rsidRPr="00130F83">
        <w:t xml:space="preserve"> Males are also more likely to use intravenous drugs than females.</w:t>
      </w:r>
      <w:hyperlink r:id="rId78" w:history="1">
        <w:r w:rsidRPr="0080702C">
          <w:rPr>
            <w:vertAlign w:val="superscript"/>
          </w:rPr>
          <w:t>34</w:t>
        </w:r>
      </w:hyperlink>
      <w:r w:rsidRPr="00130F83">
        <w:t xml:space="preserve"> This may create the impression that HIV testing is less of a priority for females, and this perception may be reinforced by other aspects of the attendee history that are not captured in the PHE data. Our findings suggest that substantial numbers of older women are being excluded from testing, and this is likely to have serious consequences for the health outcomes of women with HIV infection.</w:t>
      </w:r>
    </w:p>
    <w:p w:rsidR="00CE3D6F" w:rsidRDefault="00CE3D6F" w:rsidP="00CE3D6F">
      <w:pPr>
        <w:spacing w:line="360" w:lineRule="auto"/>
      </w:pPr>
      <w:r w:rsidRPr="00130F83">
        <w:t>Another factor which may be a barrier to offering an HIV test to younger women (pre-menopausal age) is that their reason for attendance may not be for a STI screen. This group may also use a clinic for family planning services, perhaps to access contraception, and the reason for attendance may therefore detract healthcare providers from offering an HIV test.</w:t>
      </w:r>
      <w:hyperlink r:id="rId79" w:history="1">
        <w:r w:rsidRPr="0080702C">
          <w:rPr>
            <w:vertAlign w:val="superscript"/>
          </w:rPr>
          <w:t>35</w:t>
        </w:r>
      </w:hyperlink>
      <w:r w:rsidRPr="00130F83">
        <w:t xml:space="preserve"> In older HSFs, however, there is no obvious factor that can be attributed to the lower likelihood of being offered HIV testing in a setting where universal HIV testing is recommended, other than being considered to be at lower HIV risk.</w:t>
      </w:r>
    </w:p>
    <w:p w:rsidR="00CE3D6F" w:rsidRDefault="00CE3D6F" w:rsidP="00CE3D6F">
      <w:pPr>
        <w:spacing w:line="360" w:lineRule="auto"/>
      </w:pPr>
    </w:p>
    <w:p w:rsidR="00CE3D6F" w:rsidRPr="00130F83" w:rsidRDefault="00CE3D6F" w:rsidP="00CE3D6F">
      <w:pPr>
        <w:spacing w:line="360" w:lineRule="auto"/>
      </w:pPr>
    </w:p>
    <w:p w:rsidR="00CE3D6F" w:rsidRPr="00CE3D6F" w:rsidRDefault="00CE3D6F" w:rsidP="00CE3D6F">
      <w:pPr>
        <w:spacing w:line="360" w:lineRule="auto"/>
        <w:rPr>
          <w:i/>
        </w:rPr>
      </w:pPr>
      <w:r w:rsidRPr="00CE3D6F">
        <w:rPr>
          <w:i/>
        </w:rPr>
        <w:t>Limitations</w:t>
      </w:r>
      <w:bookmarkStart w:id="4" w:name="_GoBack"/>
      <w:bookmarkEnd w:id="4"/>
    </w:p>
    <w:p w:rsidR="00CE3D6F" w:rsidRPr="00130F83" w:rsidRDefault="00CE3D6F" w:rsidP="00CE3D6F">
      <w:pPr>
        <w:spacing w:line="360" w:lineRule="auto"/>
      </w:pPr>
      <w:r w:rsidRPr="00130F83">
        <w:t>This study is dependent on the accuracy of reporting of attendance and HIV testing by sexual health services to PHE, and any trend towards more complete reporting in any particular age or risk group will have biased our results. The available data also omit other important variables, such as ethnicity, which are associated with HIV testing. Misclassification is unlikely to have affected reported age or gender groups, but may have affected sexual orientation.</w:t>
      </w:r>
      <w:hyperlink r:id="rId80" w:history="1">
        <w:r w:rsidRPr="0080702C">
          <w:rPr>
            <w:vertAlign w:val="superscript"/>
          </w:rPr>
          <w:t>36</w:t>
        </w:r>
      </w:hyperlink>
    </w:p>
    <w:p w:rsidR="00CE3D6F" w:rsidRPr="00130F83" w:rsidRDefault="00CE3D6F" w:rsidP="00CE3D6F">
      <w:pPr>
        <w:spacing w:line="360" w:lineRule="auto"/>
      </w:pPr>
      <w:r w:rsidRPr="00130F83">
        <w:t>Analyses, particularly regressions, were limited by the data format. Data received from PHE are presented in cells (e.g. number of MSM aged 50–54 offered HIV testing) rather than at the individual attendee level, and several important attendee characteristics are not reported. It was therefore not possible to adjust for all potential confounders. In addition, Spearman’s rank correlation coefficient was considered the most appropriate statistical test given the ordinal nature of the data,</w:t>
      </w:r>
      <w:hyperlink r:id="rId81" w:history="1">
        <w:r w:rsidRPr="0080702C">
          <w:rPr>
            <w:vertAlign w:val="superscript"/>
          </w:rPr>
          <w:t>37</w:t>
        </w:r>
      </w:hyperlink>
      <w:r w:rsidRPr="00130F83">
        <w:t xml:space="preserve"> but this test overlooks the degree of variation within the data and does not provide an estimate of the strength of association between variables.</w:t>
      </w:r>
    </w:p>
    <w:p w:rsidR="00CE3D6F" w:rsidRPr="00CE3D6F" w:rsidRDefault="00CE3D6F" w:rsidP="00CE3D6F">
      <w:pPr>
        <w:spacing w:line="360" w:lineRule="auto"/>
        <w:rPr>
          <w:u w:val="single"/>
        </w:rPr>
      </w:pPr>
      <w:bookmarkStart w:id="5" w:name="_i16"/>
      <w:bookmarkEnd w:id="5"/>
      <w:r w:rsidRPr="00CE3D6F">
        <w:rPr>
          <w:u w:val="single"/>
        </w:rPr>
        <w:t>Conclusions</w:t>
      </w:r>
    </w:p>
    <w:p w:rsidR="00CE3D6F" w:rsidRDefault="00CE3D6F" w:rsidP="00CE3D6F">
      <w:pPr>
        <w:spacing w:line="360" w:lineRule="auto"/>
        <w:sectPr w:rsidR="00CE3D6F">
          <w:pgSz w:w="11906" w:h="16838"/>
          <w:pgMar w:top="1440" w:right="1440" w:bottom="1440" w:left="1440" w:header="708" w:footer="708" w:gutter="0"/>
          <w:cols w:space="708"/>
          <w:docGrid w:linePitch="360"/>
        </w:sectPr>
      </w:pPr>
      <w:r w:rsidRPr="00130F83">
        <w:t>Despite their mandate to offer universal HIV testing, sexual health clinics in England are less likely to offer testing to attendees with increasing age. Sexual orientation is also strongly associated with the likelihood of being offered an HIV test, and many heterosexual women – particularly those in older age groups – are currently being overlooked, likely due to a perception of lower risk. This is compounded by the lower rate of test acceptance by this population group; heterosexual women were the least likely to accept an offer of testing and acceptance rates decreased with increasing age (as was the case with HSMs), although this effect was not as marked as for test offer. In contrast, rates of test acceptance by MSM remained consistently high across all age groups, which suggest that attendees’ perceptions of their own risk align with the perceptions of healthcare professionals. Effective interventions to increase test offer and uptake of universal HIV testing will therefore need to target both attendees and providers, and such interventions are urgently required.</w:t>
      </w:r>
    </w:p>
    <w:p w:rsidR="00CE3D6F" w:rsidRPr="00CE3D6F" w:rsidRDefault="00CE3D6F" w:rsidP="00CE3D6F">
      <w:pPr>
        <w:spacing w:line="360" w:lineRule="auto"/>
        <w:jc w:val="center"/>
        <w:rPr>
          <w:u w:val="single"/>
        </w:rPr>
      </w:pPr>
      <w:r w:rsidRPr="00CE3D6F">
        <w:rPr>
          <w:u w:val="single"/>
        </w:rPr>
        <w:t>Footnotes</w:t>
      </w:r>
    </w:p>
    <w:p w:rsidR="00CE3D6F" w:rsidRPr="00CE3D6F" w:rsidRDefault="00CE3D6F" w:rsidP="00CE3D6F">
      <w:pPr>
        <w:spacing w:line="360" w:lineRule="auto"/>
        <w:rPr>
          <w:u w:val="single"/>
        </w:rPr>
      </w:pPr>
      <w:bookmarkStart w:id="6" w:name="_i17"/>
      <w:bookmarkEnd w:id="6"/>
      <w:r w:rsidRPr="00CE3D6F">
        <w:rPr>
          <w:u w:val="single"/>
        </w:rPr>
        <w:t>Ethical approval</w:t>
      </w:r>
    </w:p>
    <w:p w:rsidR="00CE3D6F" w:rsidRPr="00130F83" w:rsidRDefault="00CE3D6F" w:rsidP="00CE3D6F">
      <w:pPr>
        <w:spacing w:line="360" w:lineRule="auto"/>
      </w:pPr>
      <w:r w:rsidRPr="00130F83">
        <w:t>This research was granted ethical approval by the Health Sciences Research Governance Committee at the University of York.</w:t>
      </w:r>
    </w:p>
    <w:p w:rsidR="00CE3D6F" w:rsidRPr="00CE3D6F" w:rsidRDefault="00CE3D6F" w:rsidP="00CE3D6F">
      <w:pPr>
        <w:spacing w:line="360" w:lineRule="auto"/>
        <w:rPr>
          <w:u w:val="single"/>
        </w:rPr>
      </w:pPr>
      <w:bookmarkStart w:id="7" w:name="_backmatter_ack"/>
      <w:bookmarkEnd w:id="7"/>
      <w:r w:rsidRPr="00CE3D6F">
        <w:rPr>
          <w:u w:val="single"/>
        </w:rPr>
        <w:t>Acknowledgements</w:t>
      </w:r>
    </w:p>
    <w:p w:rsidR="00CE3D6F" w:rsidRPr="00130F83" w:rsidRDefault="00CE3D6F" w:rsidP="00CE3D6F">
      <w:pPr>
        <w:spacing w:line="360" w:lineRule="auto"/>
      </w:pPr>
      <w:r w:rsidRPr="00130F83">
        <w:t>We thank PHE for providing the data for this project.</w:t>
      </w:r>
    </w:p>
    <w:p w:rsidR="00CE3D6F" w:rsidRPr="00CE3D6F" w:rsidRDefault="00CE3D6F" w:rsidP="00CE3D6F">
      <w:pPr>
        <w:spacing w:line="360" w:lineRule="auto"/>
        <w:rPr>
          <w:u w:val="single"/>
        </w:rPr>
      </w:pPr>
      <w:bookmarkStart w:id="8" w:name="_i19"/>
      <w:bookmarkEnd w:id="8"/>
      <w:r w:rsidRPr="00CE3D6F">
        <w:rPr>
          <w:u w:val="single"/>
        </w:rPr>
        <w:t>Declaration of conflicting interests</w:t>
      </w:r>
    </w:p>
    <w:p w:rsidR="00CE3D6F" w:rsidRPr="00130F83" w:rsidRDefault="00CE3D6F" w:rsidP="00CE3D6F">
      <w:pPr>
        <w:spacing w:line="360" w:lineRule="auto"/>
      </w:pPr>
      <w:r w:rsidRPr="00130F83">
        <w:t>The author(s) declared no potential conflicts of interest with respect to the research, authorship, and/or publication of this article.</w:t>
      </w:r>
    </w:p>
    <w:p w:rsidR="00CE3D6F" w:rsidRPr="00CE3D6F" w:rsidRDefault="00CE3D6F" w:rsidP="00CE3D6F">
      <w:pPr>
        <w:spacing w:line="360" w:lineRule="auto"/>
        <w:rPr>
          <w:u w:val="single"/>
        </w:rPr>
      </w:pPr>
      <w:bookmarkStart w:id="9" w:name="_i20"/>
      <w:bookmarkEnd w:id="9"/>
      <w:r w:rsidRPr="00CE3D6F">
        <w:rPr>
          <w:u w:val="single"/>
        </w:rPr>
        <w:t>Funding</w:t>
      </w:r>
    </w:p>
    <w:p w:rsidR="00CE3D6F" w:rsidRDefault="00CE3D6F" w:rsidP="00CE3D6F">
      <w:pPr>
        <w:spacing w:line="360" w:lineRule="auto"/>
        <w:sectPr w:rsidR="00CE3D6F">
          <w:pgSz w:w="11906" w:h="16838"/>
          <w:pgMar w:top="1440" w:right="1440" w:bottom="1440" w:left="1440" w:header="708" w:footer="708" w:gutter="0"/>
          <w:cols w:space="708"/>
          <w:docGrid w:linePitch="360"/>
        </w:sectPr>
      </w:pPr>
      <w:r w:rsidRPr="00130F83">
        <w:t>The authors disclosed receipt of the following financial support for the research, authorship, and/or publication of this article: This study was funded by the Department of Health Sciences at the University of York.</w:t>
      </w:r>
    </w:p>
    <w:p w:rsidR="00CE3D6F" w:rsidRPr="00CE3D6F" w:rsidRDefault="00CE3D6F" w:rsidP="00CE3D6F">
      <w:pPr>
        <w:keepNext/>
        <w:keepLines/>
        <w:spacing w:before="40" w:after="0" w:line="360" w:lineRule="auto"/>
        <w:outlineLvl w:val="1"/>
        <w:rPr>
          <w:rFonts w:eastAsiaTheme="majorEastAsia" w:cstheme="majorBidi"/>
          <w:szCs w:val="26"/>
          <w:u w:val="single"/>
        </w:rPr>
      </w:pPr>
      <w:r w:rsidRPr="00CE3D6F">
        <w:rPr>
          <w:rFonts w:eastAsiaTheme="majorEastAsia" w:cstheme="majorBidi"/>
          <w:szCs w:val="26"/>
          <w:u w:val="single"/>
        </w:rPr>
        <w:t xml:space="preserve">Table 1: HIV testing uptake rates by sexual orientation </w:t>
      </w:r>
    </w:p>
    <w:tbl>
      <w:tblPr>
        <w:tblStyle w:val="PlainTable2"/>
        <w:tblW w:w="5000" w:type="pct"/>
        <w:tblLook w:val="04A0" w:firstRow="1" w:lastRow="0" w:firstColumn="1" w:lastColumn="0" w:noHBand="0" w:noVBand="1"/>
      </w:tblPr>
      <w:tblGrid>
        <w:gridCol w:w="1785"/>
        <w:gridCol w:w="1632"/>
        <w:gridCol w:w="1500"/>
        <w:gridCol w:w="853"/>
        <w:gridCol w:w="1500"/>
        <w:gridCol w:w="853"/>
        <w:gridCol w:w="1500"/>
        <w:gridCol w:w="850"/>
        <w:gridCol w:w="1500"/>
        <w:gridCol w:w="850"/>
        <w:gridCol w:w="1500"/>
        <w:gridCol w:w="1075"/>
      </w:tblGrid>
      <w:tr w:rsidR="00CE3D6F" w:rsidRPr="00CE3D6F" w:rsidTr="00CE3D6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0" w:type="pct"/>
            <w:noWrap/>
            <w:hideMark/>
          </w:tcPr>
          <w:p w:rsidR="00CE3D6F" w:rsidRPr="00CE3D6F" w:rsidRDefault="00CE3D6F" w:rsidP="00CE3D6F">
            <w:pPr>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530" w:type="pct"/>
            <w:vMerge w:val="restart"/>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764" w:type="pct"/>
            <w:gridSpan w:val="2"/>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Males</w:t>
            </w:r>
          </w:p>
        </w:tc>
        <w:tc>
          <w:tcPr>
            <w:tcW w:w="764" w:type="pct"/>
            <w:gridSpan w:val="2"/>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HSM</w:t>
            </w:r>
          </w:p>
        </w:tc>
        <w:tc>
          <w:tcPr>
            <w:tcW w:w="763" w:type="pct"/>
            <w:gridSpan w:val="2"/>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MSM</w:t>
            </w:r>
          </w:p>
        </w:tc>
        <w:tc>
          <w:tcPr>
            <w:tcW w:w="763" w:type="pct"/>
            <w:gridSpan w:val="2"/>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Females</w:t>
            </w:r>
          </w:p>
        </w:tc>
        <w:tc>
          <w:tcPr>
            <w:tcW w:w="836" w:type="pct"/>
            <w:gridSpan w:val="2"/>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HSF</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0" w:type="pct"/>
            <w:noWrap/>
            <w:hideMark/>
          </w:tcPr>
          <w:p w:rsidR="00CE3D6F" w:rsidRPr="00CE3D6F" w:rsidRDefault="00CE3D6F" w:rsidP="00CE3D6F">
            <w:pPr>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530" w:type="pct"/>
            <w:vMerge/>
            <w:hideMark/>
          </w:tcPr>
          <w:p w:rsidR="00CE3D6F" w:rsidRPr="00CE3D6F" w:rsidRDefault="00CE3D6F" w:rsidP="00CE3D6F">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15-49 years</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50+ years</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15-49 years</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50+ years</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15-49 years</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50+ years</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15-49 years</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50+ years</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15-49 years</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50+ years</w:t>
            </w:r>
          </w:p>
        </w:tc>
      </w:tr>
      <w:tr w:rsidR="00CE3D6F" w:rsidRPr="00CE3D6F" w:rsidTr="00CE3D6F">
        <w:trPr>
          <w:trHeight w:val="615"/>
        </w:trPr>
        <w:tc>
          <w:tcPr>
            <w:cnfStyle w:val="001000000000" w:firstRow="0" w:lastRow="0" w:firstColumn="1" w:lastColumn="0" w:oddVBand="0" w:evenVBand="0" w:oddHBand="0" w:evenHBand="0" w:firstRowFirstColumn="0" w:firstRowLastColumn="0" w:lastRowFirstColumn="0" w:lastRowLastColumn="0"/>
            <w:tcW w:w="580" w:type="pct"/>
            <w:noWrap/>
            <w:hideMark/>
          </w:tcPr>
          <w:p w:rsidR="00CE3D6F" w:rsidRPr="00CE3D6F" w:rsidRDefault="00CE3D6F" w:rsidP="00CE3D6F">
            <w:pPr>
              <w:jc w:val="center"/>
              <w:rPr>
                <w:rFonts w:eastAsia="Times New Roman" w:cs="Calibri"/>
                <w:color w:val="000000"/>
                <w:sz w:val="18"/>
                <w:szCs w:val="18"/>
                <w:lang w:eastAsia="en-GB"/>
              </w:rPr>
            </w:pPr>
            <w:r w:rsidRPr="00CE3D6F">
              <w:rPr>
                <w:rFonts w:eastAsia="Times New Roman" w:cs="Calibri"/>
                <w:color w:val="000000"/>
                <w:sz w:val="18"/>
                <w:szCs w:val="18"/>
                <w:lang w:eastAsia="en-GB"/>
              </w:rPr>
              <w:t>Attendance</w:t>
            </w: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No. of attendees eligible for testing</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573,451</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49,533</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460,604</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36,115</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92,528</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11,408</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776,858</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31,589</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729,261</w:t>
            </w:r>
          </w:p>
        </w:tc>
        <w:tc>
          <w:tcPr>
            <w:tcW w:w="349"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29,623</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0" w:type="pct"/>
            <w:vMerge w:val="restart"/>
            <w:noWrap/>
            <w:hideMark/>
          </w:tcPr>
          <w:p w:rsidR="00CE3D6F" w:rsidRPr="00CE3D6F" w:rsidRDefault="00CE3D6F" w:rsidP="00CE3D6F">
            <w:pPr>
              <w:jc w:val="center"/>
              <w:rPr>
                <w:rFonts w:eastAsia="Times New Roman" w:cs="Calibri"/>
                <w:color w:val="000000"/>
                <w:sz w:val="18"/>
                <w:szCs w:val="18"/>
                <w:lang w:eastAsia="en-GB"/>
              </w:rPr>
            </w:pPr>
            <w:r w:rsidRPr="00CE3D6F">
              <w:rPr>
                <w:rFonts w:eastAsia="Times New Roman" w:cs="Calibri"/>
                <w:color w:val="000000"/>
                <w:sz w:val="18"/>
                <w:szCs w:val="18"/>
                <w:lang w:eastAsia="en-GB"/>
              </w:rPr>
              <w:t>Tests offered</w:t>
            </w: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No. of eligible attendees offered a HIV test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521,949</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41,862</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422,188</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30,707</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84,782</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10,002</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645,693</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23,957</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622,514</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23,094</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349"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 offered </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91.0%</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84.5%</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91.7%</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85.0%</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91.6%</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87.7%</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83.1%</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75.8%</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85.4%</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78.0%</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349"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Odds ratio</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1.84</w:t>
            </w:r>
          </w:p>
        </w:tc>
        <w:tc>
          <w:tcPr>
            <w:tcW w:w="27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1.94</w:t>
            </w:r>
          </w:p>
        </w:tc>
        <w:tc>
          <w:tcPr>
            <w:tcW w:w="27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1.54</w:t>
            </w:r>
          </w:p>
        </w:tc>
        <w:tc>
          <w:tcPr>
            <w:tcW w:w="276"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1.86</w:t>
            </w:r>
          </w:p>
        </w:tc>
        <w:tc>
          <w:tcPr>
            <w:tcW w:w="276"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1.86</w:t>
            </w:r>
          </w:p>
        </w:tc>
        <w:tc>
          <w:tcPr>
            <w:tcW w:w="349"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r>
      <w:tr w:rsidR="00CE3D6F" w:rsidRPr="00CE3D6F" w:rsidTr="00CE3D6F">
        <w:trPr>
          <w:trHeight w:val="330"/>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80702C">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(95% CI) </w:t>
            </w:r>
            <w:r w:rsidR="0080702C" w:rsidRPr="0080702C">
              <w:rPr>
                <w:rFonts w:eastAsia="Times New Roman" w:cs="Calibri"/>
                <w:b/>
                <w:bCs/>
                <w:color w:val="000000"/>
                <w:sz w:val="18"/>
                <w:szCs w:val="18"/>
                <w:vertAlign w:val="superscript"/>
                <w:lang w:eastAsia="en-GB"/>
              </w:rPr>
              <w:t>a</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(1.79 to 1.89)</w:t>
            </w:r>
          </w:p>
        </w:tc>
        <w:tc>
          <w:tcPr>
            <w:tcW w:w="27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(1.88 to 2.00)</w:t>
            </w:r>
          </w:p>
        </w:tc>
        <w:tc>
          <w:tcPr>
            <w:tcW w:w="27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(1.45 to 1.64)</w:t>
            </w:r>
          </w:p>
        </w:tc>
        <w:tc>
          <w:tcPr>
            <w:tcW w:w="276"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(1.81 to 1.91)</w:t>
            </w:r>
          </w:p>
        </w:tc>
        <w:tc>
          <w:tcPr>
            <w:tcW w:w="276"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(1.81 to 1.91)</w:t>
            </w:r>
          </w:p>
        </w:tc>
        <w:tc>
          <w:tcPr>
            <w:tcW w:w="349"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0" w:type="pct"/>
            <w:vMerge w:val="restart"/>
            <w:noWrap/>
            <w:hideMark/>
          </w:tcPr>
          <w:p w:rsidR="00CE3D6F" w:rsidRPr="00CE3D6F" w:rsidRDefault="00CE3D6F" w:rsidP="00CE3D6F">
            <w:pPr>
              <w:jc w:val="center"/>
              <w:rPr>
                <w:rFonts w:eastAsia="Times New Roman" w:cs="Calibri"/>
                <w:color w:val="000000"/>
                <w:sz w:val="18"/>
                <w:szCs w:val="18"/>
                <w:lang w:eastAsia="en-GB"/>
              </w:rPr>
            </w:pPr>
            <w:r w:rsidRPr="00CE3D6F">
              <w:rPr>
                <w:rFonts w:eastAsia="Times New Roman" w:cs="Calibri"/>
                <w:color w:val="000000"/>
                <w:sz w:val="18"/>
                <w:szCs w:val="18"/>
                <w:lang w:eastAsia="en-GB"/>
              </w:rPr>
              <w:t>Tests accepted</w:t>
            </w: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No. of eligible attendees accepting a test offer</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450,680</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35,918</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356,834</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25,569</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81,253</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9,394</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483,997</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18,331</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467,441</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17,701</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noWrap/>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349"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 accepted </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86.3%</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85.8%</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84.5%</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83.3%</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95.8%</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93.9%</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75.0%</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76.5%</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75.1%</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76.6%</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349"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Odds ratio </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1.05</w:t>
            </w:r>
          </w:p>
        </w:tc>
        <w:tc>
          <w:tcPr>
            <w:tcW w:w="27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1.10</w:t>
            </w:r>
          </w:p>
        </w:tc>
        <w:tc>
          <w:tcPr>
            <w:tcW w:w="27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1.49</w:t>
            </w:r>
          </w:p>
        </w:tc>
        <w:tc>
          <w:tcPr>
            <w:tcW w:w="276"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0.92</w:t>
            </w:r>
          </w:p>
        </w:tc>
        <w:tc>
          <w:tcPr>
            <w:tcW w:w="276"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0.92</w:t>
            </w:r>
          </w:p>
        </w:tc>
        <w:tc>
          <w:tcPr>
            <w:tcW w:w="349"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r>
      <w:tr w:rsidR="00CE3D6F" w:rsidRPr="00CE3D6F" w:rsidTr="00CE3D6F">
        <w:trPr>
          <w:trHeight w:val="330"/>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(95% CI)</w:t>
            </w:r>
            <w:r w:rsidRPr="00CE3D6F">
              <w:t xml:space="preserve"> </w:t>
            </w:r>
            <w:r w:rsidRPr="00CE3D6F">
              <w:rPr>
                <w:rFonts w:eastAsia="Times New Roman" w:cs="Calibri"/>
                <w:b/>
                <w:bCs/>
                <w:color w:val="000000"/>
                <w:sz w:val="18"/>
                <w:szCs w:val="18"/>
                <w:lang w:eastAsia="en-GB"/>
              </w:rPr>
              <w:t>†</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(1.02 to 1.08)</w:t>
            </w:r>
          </w:p>
        </w:tc>
        <w:tc>
          <w:tcPr>
            <w:tcW w:w="27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(1.06 to 1.13</w:t>
            </w:r>
          </w:p>
        </w:tc>
        <w:tc>
          <w:tcPr>
            <w:tcW w:w="27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(1.36 to 1.63)</w:t>
            </w:r>
          </w:p>
        </w:tc>
        <w:tc>
          <w:tcPr>
            <w:tcW w:w="276"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(0.89 to 0.95)</w:t>
            </w:r>
          </w:p>
        </w:tc>
        <w:tc>
          <w:tcPr>
            <w:tcW w:w="276"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(0.89 to 0.95)</w:t>
            </w:r>
          </w:p>
        </w:tc>
        <w:tc>
          <w:tcPr>
            <w:tcW w:w="349"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0" w:type="pct"/>
            <w:vMerge w:val="restart"/>
            <w:noWrap/>
            <w:hideMark/>
          </w:tcPr>
          <w:p w:rsidR="00CE3D6F" w:rsidRPr="00CE3D6F" w:rsidRDefault="00CE3D6F" w:rsidP="00CE3D6F">
            <w:pPr>
              <w:jc w:val="center"/>
              <w:rPr>
                <w:rFonts w:eastAsia="Times New Roman" w:cs="Calibri"/>
                <w:color w:val="000000"/>
                <w:sz w:val="18"/>
                <w:szCs w:val="18"/>
                <w:lang w:eastAsia="en-GB"/>
              </w:rPr>
            </w:pPr>
            <w:r w:rsidRPr="00CE3D6F">
              <w:rPr>
                <w:rFonts w:eastAsia="Times New Roman" w:cs="Calibri"/>
                <w:color w:val="000000"/>
                <w:sz w:val="18"/>
                <w:szCs w:val="18"/>
                <w:lang w:eastAsia="en-GB"/>
              </w:rPr>
              <w:t>Test coverage</w:t>
            </w: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No. of eligible attendees tested </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450,680</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35,918</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356,834</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25,569</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81,253</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9,394</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483,997</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18,331</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467,441</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17,701</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349"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 tested </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78.6%</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72.5%</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77.5%</w:t>
            </w:r>
          </w:p>
        </w:tc>
        <w:tc>
          <w:tcPr>
            <w:tcW w:w="27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70.8%</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87.8%</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82.3%</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62.3%</w:t>
            </w:r>
          </w:p>
        </w:tc>
        <w:tc>
          <w:tcPr>
            <w:tcW w:w="276"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58.0%</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64.1%</w:t>
            </w:r>
          </w:p>
        </w:tc>
        <w:tc>
          <w:tcPr>
            <w:tcW w:w="349"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59.8%</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276"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487"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c>
          <w:tcPr>
            <w:tcW w:w="349" w:type="pct"/>
            <w:noWrap/>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 xml:space="preserve">Odds ratio </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1.37</w:t>
            </w:r>
          </w:p>
        </w:tc>
        <w:tc>
          <w:tcPr>
            <w:tcW w:w="27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xml:space="preserve">1.42 </w:t>
            </w:r>
          </w:p>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(1.39 to 1.45)</w:t>
            </w:r>
          </w:p>
        </w:tc>
        <w:tc>
          <w:tcPr>
            <w:tcW w:w="27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1.55</w:t>
            </w:r>
          </w:p>
        </w:tc>
        <w:tc>
          <w:tcPr>
            <w:tcW w:w="276"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 xml:space="preserve">1.20 </w:t>
            </w:r>
          </w:p>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(1.18 to 1.23)</w:t>
            </w:r>
          </w:p>
        </w:tc>
        <w:tc>
          <w:tcPr>
            <w:tcW w:w="276"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c>
          <w:tcPr>
            <w:tcW w:w="487" w:type="pc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1.20</w:t>
            </w:r>
          </w:p>
        </w:tc>
        <w:tc>
          <w:tcPr>
            <w:tcW w:w="349" w:type="pct"/>
            <w:vMerge w:val="restart"/>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w:t>
            </w:r>
          </w:p>
        </w:tc>
      </w:tr>
      <w:tr w:rsidR="00CE3D6F" w:rsidRPr="00CE3D6F" w:rsidTr="00CE3D6F">
        <w:trPr>
          <w:trHeight w:val="330"/>
        </w:trPr>
        <w:tc>
          <w:tcPr>
            <w:cnfStyle w:val="001000000000" w:firstRow="0" w:lastRow="0" w:firstColumn="1" w:lastColumn="0" w:oddVBand="0" w:evenVBand="0" w:oddHBand="0" w:evenHBand="0" w:firstRowFirstColumn="0" w:firstRowLastColumn="0" w:lastRowFirstColumn="0" w:lastRowLastColumn="0"/>
            <w:tcW w:w="580" w:type="pct"/>
            <w:vMerge/>
            <w:hideMark/>
          </w:tcPr>
          <w:p w:rsidR="00CE3D6F" w:rsidRPr="00CE3D6F" w:rsidRDefault="00CE3D6F" w:rsidP="00CE3D6F">
            <w:pPr>
              <w:rPr>
                <w:rFonts w:eastAsia="Times New Roman" w:cs="Calibri"/>
                <w:color w:val="000000"/>
                <w:sz w:val="18"/>
                <w:szCs w:val="18"/>
                <w:lang w:eastAsia="en-GB"/>
              </w:rPr>
            </w:pPr>
          </w:p>
        </w:tc>
        <w:tc>
          <w:tcPr>
            <w:tcW w:w="530"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eastAsia="en-GB"/>
              </w:rPr>
            </w:pPr>
            <w:r w:rsidRPr="00CE3D6F">
              <w:rPr>
                <w:rFonts w:eastAsia="Times New Roman" w:cs="Calibri"/>
                <w:b/>
                <w:bCs/>
                <w:color w:val="000000"/>
                <w:sz w:val="18"/>
                <w:szCs w:val="18"/>
                <w:lang w:eastAsia="en-GB"/>
              </w:rPr>
              <w:t>(95% CI) †</w:t>
            </w: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(1.34 to 1.40)</w:t>
            </w:r>
          </w:p>
        </w:tc>
        <w:tc>
          <w:tcPr>
            <w:tcW w:w="27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27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(1.47 to 1.63)</w:t>
            </w:r>
          </w:p>
        </w:tc>
        <w:tc>
          <w:tcPr>
            <w:tcW w:w="276"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276"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c>
          <w:tcPr>
            <w:tcW w:w="487" w:type="pc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r w:rsidRPr="00CE3D6F">
              <w:rPr>
                <w:rFonts w:eastAsia="Times New Roman" w:cs="Calibri"/>
                <w:color w:val="000000"/>
                <w:sz w:val="18"/>
                <w:szCs w:val="18"/>
                <w:lang w:eastAsia="en-GB"/>
              </w:rPr>
              <w:t>(1.17 to 1.23)</w:t>
            </w:r>
          </w:p>
        </w:tc>
        <w:tc>
          <w:tcPr>
            <w:tcW w:w="349" w:type="pct"/>
            <w:vMerge/>
            <w:hideMark/>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GB"/>
              </w:rPr>
            </w:pPr>
          </w:p>
        </w:tc>
      </w:tr>
    </w:tbl>
    <w:p w:rsidR="0080702C" w:rsidRPr="0080702C" w:rsidRDefault="0080702C" w:rsidP="0080702C">
      <w:pPr>
        <w:spacing w:line="240" w:lineRule="auto"/>
        <w:rPr>
          <w:rFonts w:eastAsia="Times New Roman" w:cs="Calibri"/>
          <w:b/>
          <w:bCs/>
          <w:color w:val="000000"/>
          <w:sz w:val="18"/>
          <w:szCs w:val="18"/>
          <w:lang w:eastAsia="en-GB"/>
        </w:rPr>
      </w:pPr>
      <w:r w:rsidRPr="0080702C">
        <w:rPr>
          <w:rFonts w:eastAsia="Times New Roman" w:cs="Calibri"/>
          <w:b/>
          <w:bCs/>
          <w:color w:val="000000"/>
          <w:sz w:val="18"/>
          <w:szCs w:val="18"/>
          <w:lang w:eastAsia="en-GB"/>
        </w:rPr>
        <w:t xml:space="preserve">HSF: heterosexual female; HSM: Heterosexual male; MSM: men who have sex with men </w:t>
      </w:r>
    </w:p>
    <w:p w:rsidR="00CE3D6F" w:rsidRPr="0080702C" w:rsidRDefault="0080702C" w:rsidP="0080702C">
      <w:pPr>
        <w:spacing w:line="240" w:lineRule="auto"/>
        <w:rPr>
          <w:b/>
          <w:sz w:val="18"/>
          <w:szCs w:val="18"/>
        </w:rPr>
        <w:sectPr w:rsidR="00CE3D6F" w:rsidRPr="0080702C" w:rsidSect="00CE3D6F">
          <w:pgSz w:w="16838" w:h="11906" w:orient="landscape"/>
          <w:pgMar w:top="720" w:right="720" w:bottom="720" w:left="720" w:header="708" w:footer="708" w:gutter="0"/>
          <w:cols w:space="708"/>
          <w:docGrid w:linePitch="360"/>
        </w:sectPr>
      </w:pPr>
      <w:r w:rsidRPr="0080702C">
        <w:rPr>
          <w:rFonts w:eastAsia="Times New Roman" w:cs="Calibri"/>
          <w:b/>
          <w:bCs/>
          <w:color w:val="000000"/>
          <w:sz w:val="18"/>
          <w:szCs w:val="18"/>
          <w:vertAlign w:val="superscript"/>
          <w:lang w:eastAsia="en-GB"/>
        </w:rPr>
        <w:t>a</w:t>
      </w:r>
      <w:r w:rsidR="00CE3D6F" w:rsidRPr="0080702C">
        <w:rPr>
          <w:rFonts w:eastAsia="Times New Roman" w:cs="Calibri"/>
          <w:b/>
          <w:bCs/>
          <w:color w:val="000000"/>
          <w:sz w:val="18"/>
          <w:szCs w:val="18"/>
          <w:vertAlign w:val="superscript"/>
          <w:lang w:eastAsia="en-GB"/>
        </w:rPr>
        <w:t xml:space="preserve"> </w:t>
      </w:r>
      <w:r w:rsidR="00CE3D6F" w:rsidRPr="0080702C">
        <w:rPr>
          <w:b/>
          <w:sz w:val="18"/>
          <w:szCs w:val="18"/>
        </w:rPr>
        <w:t>Age 50+ years is the comparator group</w:t>
      </w:r>
    </w:p>
    <w:p w:rsidR="00CE3D6F" w:rsidRPr="00CE3D6F" w:rsidRDefault="00CE3D6F" w:rsidP="00CE3D6F">
      <w:pPr>
        <w:keepNext/>
        <w:keepLines/>
        <w:spacing w:before="40" w:after="0" w:line="360" w:lineRule="auto"/>
        <w:outlineLvl w:val="1"/>
        <w:rPr>
          <w:rFonts w:eastAsiaTheme="majorEastAsia" w:cstheme="majorBidi"/>
          <w:szCs w:val="26"/>
          <w:u w:val="single"/>
        </w:rPr>
      </w:pPr>
      <w:r w:rsidRPr="00CE3D6F">
        <w:rPr>
          <w:rFonts w:eastAsiaTheme="majorEastAsia" w:cstheme="majorBidi"/>
          <w:szCs w:val="26"/>
          <w:u w:val="single"/>
        </w:rPr>
        <w:t>Table 2: Odds of HIV test uptake by sexual orientation, ages 50+</w:t>
      </w:r>
    </w:p>
    <w:tbl>
      <w:tblPr>
        <w:tblStyle w:val="PlainTable2"/>
        <w:tblW w:w="5273" w:type="pct"/>
        <w:tblLook w:val="04A0" w:firstRow="1" w:lastRow="0" w:firstColumn="1" w:lastColumn="0" w:noHBand="0" w:noVBand="1"/>
      </w:tblPr>
      <w:tblGrid>
        <w:gridCol w:w="2104"/>
        <w:gridCol w:w="4209"/>
        <w:gridCol w:w="1819"/>
        <w:gridCol w:w="1823"/>
        <w:gridCol w:w="1823"/>
      </w:tblGrid>
      <w:tr w:rsidR="00CE3D6F" w:rsidRPr="00CE3D6F" w:rsidTr="00CE3D6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01" w:type="dxa"/>
            <w:noWrap/>
            <w:hideMark/>
          </w:tcPr>
          <w:p w:rsidR="00CE3D6F" w:rsidRPr="00CE3D6F" w:rsidRDefault="00CE3D6F" w:rsidP="00CE3D6F">
            <w:pPr>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3402" w:type="dxa"/>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0" w:type="dxa"/>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HSM</w:t>
            </w:r>
          </w:p>
        </w:tc>
        <w:tc>
          <w:tcPr>
            <w:tcW w:w="1473" w:type="dxa"/>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MSM</w:t>
            </w:r>
          </w:p>
        </w:tc>
        <w:tc>
          <w:tcPr>
            <w:tcW w:w="1473" w:type="dxa"/>
            <w:hideMark/>
          </w:tcPr>
          <w:p w:rsidR="00CE3D6F" w:rsidRPr="00CE3D6F" w:rsidRDefault="00CE3D6F" w:rsidP="00CE3D6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HSF</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01" w:type="dxa"/>
            <w:noWrap/>
            <w:hideMark/>
          </w:tcPr>
          <w:p w:rsidR="00CE3D6F" w:rsidRPr="00CE3D6F" w:rsidRDefault="00CE3D6F" w:rsidP="00CE3D6F">
            <w:pPr>
              <w:jc w:val="center"/>
              <w:rPr>
                <w:rFonts w:eastAsia="Times New Roman" w:cstheme="minorHAnsi"/>
                <w:color w:val="000000"/>
                <w:sz w:val="20"/>
                <w:szCs w:val="20"/>
                <w:lang w:eastAsia="en-GB"/>
              </w:rPr>
            </w:pPr>
            <w:r w:rsidRPr="00CE3D6F">
              <w:rPr>
                <w:rFonts w:eastAsia="Times New Roman" w:cstheme="minorHAnsi"/>
                <w:color w:val="000000"/>
                <w:sz w:val="20"/>
                <w:szCs w:val="20"/>
                <w:lang w:eastAsia="en-GB"/>
              </w:rPr>
              <w:t>Attendance</w:t>
            </w:r>
          </w:p>
        </w:tc>
        <w:tc>
          <w:tcPr>
            <w:tcW w:w="3402" w:type="dxa"/>
            <w:hideMark/>
          </w:tcPr>
          <w:p w:rsidR="00CE3D6F" w:rsidRPr="00CE3D6F" w:rsidRDefault="00CE3D6F" w:rsidP="00CE3D6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No. of attendees eligible for testing</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36,115</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11,408</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29,623</w:t>
            </w:r>
          </w:p>
        </w:tc>
      </w:tr>
      <w:tr w:rsidR="00CE3D6F" w:rsidRPr="00CE3D6F" w:rsidTr="00CE3D6F">
        <w:trPr>
          <w:trHeight w:val="480"/>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rsidR="00CE3D6F" w:rsidRPr="00CE3D6F" w:rsidRDefault="00CE3D6F" w:rsidP="00CE3D6F">
            <w:pPr>
              <w:jc w:val="center"/>
              <w:rPr>
                <w:rFonts w:eastAsia="Times New Roman" w:cstheme="minorHAnsi"/>
                <w:color w:val="000000"/>
                <w:sz w:val="20"/>
                <w:szCs w:val="20"/>
                <w:lang w:eastAsia="en-GB"/>
              </w:rPr>
            </w:pPr>
            <w:r w:rsidRPr="00CE3D6F">
              <w:rPr>
                <w:rFonts w:eastAsia="Times New Roman" w:cstheme="minorHAnsi"/>
                <w:color w:val="000000"/>
                <w:sz w:val="20"/>
                <w:szCs w:val="20"/>
                <w:lang w:eastAsia="en-GB"/>
              </w:rPr>
              <w:t>Tests offered</w:t>
            </w: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No. of eligible attendees offered a HIV test</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30,707</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10,002</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23,094</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noWrap/>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xml:space="preserve">% offered </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85.00%</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87.70%</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78.00%</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Odds ratio</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1.25</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0.55</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(95% CI) †</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(1.18 to 1.33)</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(0.53 to 0.58)</w:t>
            </w:r>
          </w:p>
        </w:tc>
      </w:tr>
      <w:tr w:rsidR="00CE3D6F" w:rsidRPr="00CE3D6F" w:rsidTr="00CE3D6F">
        <w:trPr>
          <w:trHeight w:val="480"/>
        </w:trPr>
        <w:tc>
          <w:tcPr>
            <w:cnfStyle w:val="001000000000" w:firstRow="0" w:lastRow="0" w:firstColumn="1" w:lastColumn="0" w:oddVBand="0" w:evenVBand="0" w:oddHBand="0" w:evenHBand="0" w:firstRowFirstColumn="0" w:firstRowLastColumn="0" w:lastRowFirstColumn="0" w:lastRowLastColumn="0"/>
            <w:tcW w:w="1701" w:type="dxa"/>
            <w:vMerge w:val="restart"/>
            <w:hideMark/>
          </w:tcPr>
          <w:p w:rsidR="00CE3D6F" w:rsidRPr="00CE3D6F" w:rsidRDefault="00CE3D6F" w:rsidP="00CE3D6F">
            <w:pPr>
              <w:jc w:val="center"/>
              <w:rPr>
                <w:rFonts w:eastAsia="Times New Roman" w:cstheme="minorHAnsi"/>
                <w:color w:val="000000"/>
                <w:sz w:val="20"/>
                <w:szCs w:val="20"/>
                <w:lang w:eastAsia="en-GB"/>
              </w:rPr>
            </w:pPr>
            <w:r w:rsidRPr="00CE3D6F">
              <w:rPr>
                <w:rFonts w:eastAsia="Times New Roman" w:cstheme="minorHAnsi"/>
                <w:color w:val="000000"/>
                <w:sz w:val="20"/>
                <w:szCs w:val="20"/>
                <w:lang w:eastAsia="en-GB"/>
              </w:rPr>
              <w:t>Tests accepted</w:t>
            </w: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No. of eligible attendees accepting a test offer</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25,569</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9,394</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17,701</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accepted</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83.30%</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93.90%</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76.60%</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Odds ratio</w:t>
            </w:r>
          </w:p>
        </w:tc>
        <w:tc>
          <w:tcPr>
            <w:tcW w:w="1470" w:type="dxa"/>
            <w:vMerge w:val="restar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1.1</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0.3</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(95% CI) †*</w:t>
            </w:r>
          </w:p>
        </w:tc>
        <w:tc>
          <w:tcPr>
            <w:tcW w:w="1470" w:type="dxa"/>
            <w:vMerge/>
            <w:hideMark/>
          </w:tcPr>
          <w:p w:rsidR="00CE3D6F" w:rsidRPr="00CE3D6F" w:rsidRDefault="00CE3D6F" w:rsidP="00CE3D6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(1.06 to 1.13)</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(0.30 to 0.31)</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rsidR="00CE3D6F" w:rsidRPr="00CE3D6F" w:rsidRDefault="00CE3D6F" w:rsidP="00CE3D6F">
            <w:pPr>
              <w:jc w:val="center"/>
              <w:rPr>
                <w:rFonts w:eastAsia="Times New Roman" w:cstheme="minorHAnsi"/>
                <w:color w:val="000000"/>
                <w:sz w:val="20"/>
                <w:szCs w:val="20"/>
                <w:lang w:eastAsia="en-GB"/>
              </w:rPr>
            </w:pPr>
            <w:r w:rsidRPr="00CE3D6F">
              <w:rPr>
                <w:rFonts w:eastAsia="Times New Roman" w:cstheme="minorHAnsi"/>
                <w:color w:val="000000"/>
                <w:sz w:val="20"/>
                <w:szCs w:val="20"/>
                <w:lang w:eastAsia="en-GB"/>
              </w:rPr>
              <w:t>Test coverage</w:t>
            </w: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xml:space="preserve">No. of eligible attendees tested </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25,569</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9,394</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17,701</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noWrap/>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tested</w:t>
            </w:r>
          </w:p>
        </w:tc>
        <w:tc>
          <w:tcPr>
            <w:tcW w:w="1470"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70.80%</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82.30%</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59.80%</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w:t>
            </w:r>
          </w:p>
        </w:tc>
        <w:tc>
          <w:tcPr>
            <w:tcW w:w="1470"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 </w:t>
            </w:r>
          </w:p>
        </w:tc>
      </w:tr>
      <w:tr w:rsidR="00CE3D6F" w:rsidRPr="00CE3D6F" w:rsidTr="00CE3D6F">
        <w:trPr>
          <w:trHeight w:val="315"/>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 xml:space="preserve">Odds ratio </w:t>
            </w:r>
          </w:p>
        </w:tc>
        <w:tc>
          <w:tcPr>
            <w:tcW w:w="1470" w:type="dxa"/>
            <w:vMerge w:val="restart"/>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1.92</w:t>
            </w:r>
          </w:p>
        </w:tc>
        <w:tc>
          <w:tcPr>
            <w:tcW w:w="1473" w:type="dxa"/>
            <w:hideMark/>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0.61</w:t>
            </w:r>
          </w:p>
        </w:tc>
      </w:tr>
      <w:tr w:rsidR="00CE3D6F" w:rsidRPr="00CE3D6F" w:rsidTr="00CE3D6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01" w:type="dxa"/>
            <w:vMerge/>
            <w:hideMark/>
          </w:tcPr>
          <w:p w:rsidR="00CE3D6F" w:rsidRPr="00CE3D6F" w:rsidRDefault="00CE3D6F" w:rsidP="00CE3D6F">
            <w:pPr>
              <w:rPr>
                <w:rFonts w:eastAsia="Times New Roman" w:cstheme="minorHAnsi"/>
                <w:color w:val="000000"/>
                <w:sz w:val="20"/>
                <w:szCs w:val="20"/>
                <w:lang w:eastAsia="en-GB"/>
              </w:rPr>
            </w:pPr>
          </w:p>
        </w:tc>
        <w:tc>
          <w:tcPr>
            <w:tcW w:w="3402" w:type="dxa"/>
            <w:hideMark/>
          </w:tcPr>
          <w:p w:rsidR="00CE3D6F" w:rsidRPr="00CE3D6F" w:rsidRDefault="00CE3D6F" w:rsidP="00CE3D6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CE3D6F">
              <w:rPr>
                <w:rFonts w:eastAsia="Times New Roman" w:cstheme="minorHAnsi"/>
                <w:b/>
                <w:bCs/>
                <w:color w:val="000000"/>
                <w:sz w:val="20"/>
                <w:szCs w:val="20"/>
                <w:lang w:eastAsia="en-GB"/>
              </w:rPr>
              <w:t>(95% CI) †</w:t>
            </w:r>
          </w:p>
        </w:tc>
        <w:tc>
          <w:tcPr>
            <w:tcW w:w="1470" w:type="dxa"/>
            <w:vMerge/>
            <w:hideMark/>
          </w:tcPr>
          <w:p w:rsidR="00CE3D6F" w:rsidRPr="00CE3D6F" w:rsidRDefault="00CE3D6F" w:rsidP="00CE3D6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(1.82-2.03)</w:t>
            </w:r>
          </w:p>
        </w:tc>
        <w:tc>
          <w:tcPr>
            <w:tcW w:w="1473" w:type="dxa"/>
            <w:hideMark/>
          </w:tcPr>
          <w:p w:rsidR="00CE3D6F" w:rsidRPr="00CE3D6F" w:rsidRDefault="00CE3D6F" w:rsidP="00CE3D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E3D6F">
              <w:rPr>
                <w:rFonts w:eastAsia="Times New Roman" w:cstheme="minorHAnsi"/>
                <w:color w:val="000000"/>
                <w:sz w:val="20"/>
                <w:szCs w:val="20"/>
                <w:lang w:eastAsia="en-GB"/>
              </w:rPr>
              <w:t>(0.59-0.63)</w:t>
            </w:r>
          </w:p>
        </w:tc>
      </w:tr>
      <w:tr w:rsidR="00CE3D6F" w:rsidRPr="00CE3D6F" w:rsidTr="00CE3D6F">
        <w:trPr>
          <w:trHeight w:val="330"/>
        </w:trPr>
        <w:tc>
          <w:tcPr>
            <w:cnfStyle w:val="001000000000" w:firstRow="0" w:lastRow="0" w:firstColumn="1" w:lastColumn="0" w:oddVBand="0" w:evenVBand="0" w:oddHBand="0" w:evenHBand="0" w:firstRowFirstColumn="0" w:firstRowLastColumn="0" w:lastRowFirstColumn="0" w:lastRowLastColumn="0"/>
            <w:tcW w:w="5103" w:type="dxa"/>
            <w:gridSpan w:val="2"/>
          </w:tcPr>
          <w:p w:rsidR="00601713" w:rsidRPr="00601713" w:rsidRDefault="00601713" w:rsidP="00CE3D6F">
            <w:pPr>
              <w:rPr>
                <w:rFonts w:eastAsia="Times New Roman" w:cstheme="minorHAnsi"/>
                <w:color w:val="000000"/>
                <w:sz w:val="20"/>
                <w:szCs w:val="20"/>
                <w:lang w:eastAsia="en-GB"/>
              </w:rPr>
            </w:pPr>
            <w:r w:rsidRPr="00601713">
              <w:rPr>
                <w:rFonts w:eastAsia="Times New Roman" w:cstheme="minorHAnsi"/>
                <w:color w:val="000000"/>
                <w:sz w:val="20"/>
                <w:szCs w:val="20"/>
                <w:lang w:eastAsia="en-GB"/>
              </w:rPr>
              <w:t>HSF: heterosexual female; HSM: Heterosexual male; MSM: men who have sex with men</w:t>
            </w:r>
          </w:p>
          <w:p w:rsidR="00CE3D6F" w:rsidRPr="00CE3D6F" w:rsidRDefault="00CE3D6F" w:rsidP="00CE3D6F">
            <w:pPr>
              <w:rPr>
                <w:rFonts w:eastAsia="Times New Roman" w:cstheme="minorHAnsi"/>
                <w:color w:val="000000"/>
                <w:sz w:val="20"/>
                <w:szCs w:val="20"/>
                <w:lang w:eastAsia="en-GB"/>
              </w:rPr>
            </w:pPr>
            <w:r w:rsidRPr="00CE3D6F">
              <w:rPr>
                <w:rFonts w:eastAsia="Times New Roman" w:cstheme="minorHAnsi"/>
                <w:color w:val="000000"/>
                <w:sz w:val="20"/>
                <w:szCs w:val="20"/>
                <w:lang w:eastAsia="en-GB"/>
              </w:rPr>
              <w:t>† Heterosexual males are the comparator group</w:t>
            </w:r>
          </w:p>
        </w:tc>
        <w:tc>
          <w:tcPr>
            <w:tcW w:w="1470" w:type="dxa"/>
          </w:tcPr>
          <w:p w:rsidR="00CE3D6F" w:rsidRPr="00CE3D6F" w:rsidRDefault="00CE3D6F" w:rsidP="00CE3D6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3" w:type="dxa"/>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c>
          <w:tcPr>
            <w:tcW w:w="1473" w:type="dxa"/>
          </w:tcPr>
          <w:p w:rsidR="00CE3D6F" w:rsidRPr="00CE3D6F" w:rsidRDefault="00CE3D6F" w:rsidP="00CE3D6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p>
        </w:tc>
      </w:tr>
    </w:tbl>
    <w:p w:rsidR="002641CE" w:rsidRDefault="002641CE" w:rsidP="00CE3D6F">
      <w:pPr>
        <w:spacing w:line="360" w:lineRule="auto"/>
        <w:sectPr w:rsidR="002641CE" w:rsidSect="00CE3D6F">
          <w:pgSz w:w="16838" w:h="11906" w:orient="landscape"/>
          <w:pgMar w:top="1701" w:right="2835" w:bottom="1701" w:left="2835" w:header="709" w:footer="709" w:gutter="0"/>
          <w:cols w:space="708"/>
          <w:docGrid w:linePitch="360"/>
        </w:sectPr>
      </w:pPr>
    </w:p>
    <w:p w:rsidR="00CE3D6F" w:rsidRPr="00CE3D6F" w:rsidRDefault="00CE3D6F" w:rsidP="00CE3D6F">
      <w:pPr>
        <w:keepNext/>
        <w:keepLines/>
        <w:spacing w:before="40" w:after="0" w:line="360" w:lineRule="auto"/>
        <w:outlineLvl w:val="1"/>
        <w:rPr>
          <w:rFonts w:eastAsiaTheme="majorEastAsia" w:cstheme="majorBidi"/>
          <w:szCs w:val="26"/>
          <w:u w:val="single"/>
        </w:rPr>
      </w:pPr>
      <w:r w:rsidRPr="00CE3D6F">
        <w:rPr>
          <w:rFonts w:eastAsiaTheme="majorEastAsia" w:cstheme="majorBidi"/>
          <w:szCs w:val="26"/>
          <w:u w:val="single"/>
        </w:rPr>
        <w:t>Figure 1: Proportion of sexual health clinic attendees offered a HIV test by sexual orientation and age – 2014, England</w:t>
      </w:r>
    </w:p>
    <w:p w:rsidR="00CE3D6F" w:rsidRPr="00CE3D6F" w:rsidRDefault="00CE3D6F" w:rsidP="00CE3D6F">
      <w:pPr>
        <w:spacing w:line="360" w:lineRule="auto"/>
      </w:pPr>
      <w:r w:rsidRPr="00CE3D6F">
        <w:rPr>
          <w:noProof/>
          <w:sz w:val="24"/>
          <w:szCs w:val="24"/>
          <w:lang w:eastAsia="en-GB"/>
        </w:rPr>
        <w:drawing>
          <wp:inline distT="0" distB="0" distL="0" distR="0" wp14:anchorId="2D5F5565" wp14:editId="3D5BCE2C">
            <wp:extent cx="5494646" cy="4217158"/>
            <wp:effectExtent l="19050" t="0" r="10804"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E3D6F" w:rsidRPr="00CE3D6F" w:rsidRDefault="00CE3D6F" w:rsidP="00CE3D6F">
      <w:r w:rsidRPr="00CE3D6F">
        <w:br w:type="page"/>
      </w:r>
    </w:p>
    <w:p w:rsidR="00CE3D6F" w:rsidRPr="00CE3D6F" w:rsidRDefault="00CE3D6F" w:rsidP="00CE3D6F">
      <w:pPr>
        <w:keepNext/>
        <w:keepLines/>
        <w:spacing w:before="40" w:after="0" w:line="360" w:lineRule="auto"/>
        <w:outlineLvl w:val="1"/>
        <w:rPr>
          <w:rFonts w:eastAsiaTheme="majorEastAsia" w:cstheme="majorBidi"/>
          <w:szCs w:val="26"/>
          <w:u w:val="single"/>
        </w:rPr>
      </w:pPr>
      <w:r w:rsidRPr="00CE3D6F">
        <w:rPr>
          <w:rFonts w:eastAsiaTheme="majorEastAsia" w:cstheme="majorBidi"/>
          <w:szCs w:val="26"/>
          <w:u w:val="single"/>
        </w:rPr>
        <w:t>Figure 2: Proportion of sexual health clinic attendees accepting a HIV test by sexual orientation and age – 2014, England</w:t>
      </w:r>
    </w:p>
    <w:p w:rsidR="00CE3D6F" w:rsidRPr="00CE3D6F" w:rsidRDefault="00CE3D6F" w:rsidP="00CE3D6F">
      <w:pPr>
        <w:sectPr w:rsidR="00CE3D6F" w:rsidRPr="00CE3D6F" w:rsidSect="00CE3D6F">
          <w:headerReference w:type="even" r:id="rId83"/>
          <w:headerReference w:type="default" r:id="rId84"/>
          <w:headerReference w:type="first" r:id="rId85"/>
          <w:pgSz w:w="11906" w:h="16838"/>
          <w:pgMar w:top="2835" w:right="1701" w:bottom="2835" w:left="1701" w:header="709" w:footer="709" w:gutter="0"/>
          <w:cols w:space="708"/>
          <w:docGrid w:linePitch="360"/>
        </w:sectPr>
      </w:pPr>
      <w:r w:rsidRPr="00CE3D6F">
        <w:rPr>
          <w:rFonts w:ascii="Calibri" w:eastAsia="Calibri" w:hAnsi="Calibri" w:cs="Times New Roman"/>
          <w:noProof/>
          <w:sz w:val="20"/>
          <w:szCs w:val="20"/>
          <w:shd w:val="clear" w:color="auto" w:fill="FFFFFF"/>
          <w:lang w:eastAsia="en-GB"/>
        </w:rPr>
        <w:drawing>
          <wp:inline distT="0" distB="0" distL="0" distR="0" wp14:anchorId="06013698" wp14:editId="77981911">
            <wp:extent cx="5525902" cy="3740728"/>
            <wp:effectExtent l="19050" t="0" r="17648"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CE3D6F" w:rsidRPr="00CE3D6F" w:rsidRDefault="00CE3D6F" w:rsidP="00CE3D6F">
      <w:pPr>
        <w:keepNext/>
        <w:keepLines/>
        <w:spacing w:before="40" w:after="0" w:line="360" w:lineRule="auto"/>
        <w:outlineLvl w:val="1"/>
        <w:rPr>
          <w:rFonts w:eastAsiaTheme="majorEastAsia" w:cstheme="majorBidi"/>
          <w:szCs w:val="26"/>
          <w:u w:val="single"/>
        </w:rPr>
      </w:pPr>
      <w:r w:rsidRPr="00CE3D6F">
        <w:rPr>
          <w:rFonts w:eastAsiaTheme="majorEastAsia" w:cstheme="majorBidi"/>
          <w:szCs w:val="26"/>
          <w:u w:val="single"/>
        </w:rPr>
        <w:t>Figure 3: HIV test coverage in sexual health clinics by age and sexual risk group - England, 2014</w:t>
      </w:r>
    </w:p>
    <w:p w:rsidR="00CE3D6F" w:rsidRPr="00CE3D6F" w:rsidRDefault="00CE3D6F" w:rsidP="00CE3D6F">
      <w:pPr>
        <w:spacing w:line="360" w:lineRule="auto"/>
        <w:sectPr w:rsidR="00CE3D6F" w:rsidRPr="00CE3D6F" w:rsidSect="00CE3D6F">
          <w:headerReference w:type="even" r:id="rId87"/>
          <w:headerReference w:type="default" r:id="rId88"/>
          <w:headerReference w:type="first" r:id="rId89"/>
          <w:pgSz w:w="11906" w:h="16838"/>
          <w:pgMar w:top="2835" w:right="1701" w:bottom="2835" w:left="1701" w:header="709" w:footer="709" w:gutter="0"/>
          <w:cols w:space="708"/>
          <w:docGrid w:linePitch="360"/>
        </w:sectPr>
      </w:pPr>
      <w:r w:rsidRPr="00CE3D6F">
        <w:rPr>
          <w:noProof/>
          <w:lang w:eastAsia="en-GB"/>
        </w:rPr>
        <w:drawing>
          <wp:inline distT="0" distB="0" distL="0" distR="0" wp14:anchorId="210695B1" wp14:editId="14A96C2A">
            <wp:extent cx="5645480" cy="3859481"/>
            <wp:effectExtent l="19050" t="0" r="12370" b="7669"/>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CE3D6F" w:rsidRPr="008D7C20" w:rsidRDefault="00CE3D6F" w:rsidP="00CE3D6F">
      <w:pPr>
        <w:spacing w:line="360" w:lineRule="auto"/>
        <w:rPr>
          <w:u w:val="single"/>
        </w:rPr>
      </w:pPr>
      <w:bookmarkStart w:id="10" w:name="_i21"/>
      <w:bookmarkEnd w:id="10"/>
      <w:r w:rsidRPr="008D7C20">
        <w:rPr>
          <w:u w:val="single"/>
        </w:rPr>
        <w:t>References</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fldChar w:fldCharType="begin"/>
      </w:r>
      <w:r w:rsidRPr="00CE3D6F">
        <w:rPr>
          <w:rFonts w:ascii="Calibri" w:hAnsi="Calibri" w:cs="Calibri"/>
          <w:noProof/>
          <w:lang w:val="en-US"/>
        </w:rPr>
        <w:instrText xml:space="preserve"> ADDIN EN.REFLIST </w:instrText>
      </w:r>
      <w:r w:rsidRPr="00CE3D6F">
        <w:rPr>
          <w:rFonts w:ascii="Calibri" w:hAnsi="Calibri" w:cs="Calibri"/>
          <w:noProof/>
          <w:lang w:val="en-US"/>
        </w:rPr>
        <w:fldChar w:fldCharType="separate"/>
      </w:r>
      <w:r w:rsidRPr="00CE3D6F">
        <w:rPr>
          <w:rFonts w:ascii="Calibri" w:hAnsi="Calibri" w:cs="Calibri"/>
          <w:noProof/>
          <w:lang w:val="en-US"/>
        </w:rPr>
        <w:t>1.</w:t>
      </w:r>
      <w:r w:rsidRPr="00CE3D6F">
        <w:rPr>
          <w:rFonts w:ascii="Calibri" w:hAnsi="Calibri" w:cs="Calibri"/>
          <w:noProof/>
          <w:lang w:val="en-US"/>
        </w:rPr>
        <w:tab/>
        <w:t xml:space="preserve">United Nations. </w:t>
      </w:r>
      <w:r w:rsidRPr="008D7C20">
        <w:rPr>
          <w:rFonts w:ascii="Calibri" w:hAnsi="Calibri" w:cs="Calibri"/>
          <w:i/>
          <w:noProof/>
          <w:lang w:val="en-US"/>
        </w:rPr>
        <w:t>On the fast track to ending the AIDS epidemic. Report of the United Nations Secretary-General for the High-Level Meeting on Ending AID</w:t>
      </w:r>
      <w:r w:rsidRPr="00CE3D6F">
        <w:rPr>
          <w:rFonts w:ascii="Calibri" w:hAnsi="Calibri" w:cs="Calibri"/>
          <w:noProof/>
          <w:lang w:val="en-US"/>
        </w:rPr>
        <w:t>S</w:t>
      </w:r>
      <w:r w:rsidR="008D7C20">
        <w:rPr>
          <w:rFonts w:ascii="Calibri" w:hAnsi="Calibri" w:cs="Calibri"/>
          <w:noProof/>
          <w:lang w:val="en-US"/>
        </w:rPr>
        <w:t>.</w:t>
      </w:r>
      <w:r w:rsidRPr="00CE3D6F">
        <w:rPr>
          <w:rFonts w:ascii="Calibri" w:hAnsi="Calibri" w:cs="Calibri"/>
          <w:noProof/>
          <w:lang w:val="en-US"/>
        </w:rPr>
        <w:t xml:space="preserve"> New York: United Nations</w:t>
      </w:r>
      <w:r w:rsidR="008D7C20">
        <w:rPr>
          <w:rFonts w:ascii="Calibri" w:hAnsi="Calibri" w:cs="Calibri"/>
          <w:noProof/>
          <w:lang w:val="en-US"/>
        </w:rPr>
        <w:t>, http://sgreport.unaids.org (2016, accessed 24 November 2017)</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w:t>
      </w:r>
      <w:r w:rsidRPr="00CE3D6F">
        <w:rPr>
          <w:rFonts w:ascii="Calibri" w:hAnsi="Calibri" w:cs="Calibri"/>
          <w:noProof/>
          <w:lang w:val="en-US"/>
        </w:rPr>
        <w:tab/>
        <w:t xml:space="preserve">UNAIDS. </w:t>
      </w:r>
      <w:r w:rsidRPr="008D7C20">
        <w:rPr>
          <w:rFonts w:ascii="Calibri" w:hAnsi="Calibri" w:cs="Calibri"/>
          <w:i/>
          <w:noProof/>
          <w:lang w:val="en-US"/>
        </w:rPr>
        <w:t>Global AIDS Update</w:t>
      </w:r>
      <w:r w:rsidRPr="00CE3D6F">
        <w:rPr>
          <w:rFonts w:ascii="Calibri" w:hAnsi="Calibri" w:cs="Calibri"/>
          <w:noProof/>
          <w:lang w:val="en-US"/>
        </w:rPr>
        <w:t>. Geneva: Joint United Nations Programme on HIV/AIDS, 2016.</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w:t>
      </w:r>
      <w:r w:rsidRPr="00CE3D6F">
        <w:rPr>
          <w:rFonts w:ascii="Calibri" w:hAnsi="Calibri" w:cs="Calibri"/>
          <w:noProof/>
          <w:lang w:val="en-US"/>
        </w:rPr>
        <w:tab/>
        <w:t>Kirwan PD, Chau C, Brown AE,</w:t>
      </w:r>
      <w:r w:rsidR="008D7C20">
        <w:rPr>
          <w:rFonts w:ascii="Calibri" w:hAnsi="Calibri" w:cs="Calibri"/>
          <w:noProof/>
          <w:lang w:val="en-US"/>
        </w:rPr>
        <w:t xml:space="preserve"> et al</w:t>
      </w:r>
      <w:r w:rsidRPr="00CE3D6F">
        <w:rPr>
          <w:rFonts w:ascii="Calibri" w:hAnsi="Calibri" w:cs="Calibri"/>
          <w:noProof/>
          <w:lang w:val="en-US"/>
        </w:rPr>
        <w:t xml:space="preserve">. </w:t>
      </w:r>
      <w:r w:rsidRPr="008D7C20">
        <w:rPr>
          <w:rFonts w:ascii="Calibri" w:hAnsi="Calibri" w:cs="Calibri"/>
          <w:i/>
          <w:noProof/>
          <w:lang w:val="en-US"/>
        </w:rPr>
        <w:t>HIV in the UK - 2016 report</w:t>
      </w:r>
      <w:r w:rsidRPr="00CE3D6F">
        <w:rPr>
          <w:rFonts w:ascii="Calibri" w:hAnsi="Calibri" w:cs="Calibri"/>
          <w:noProof/>
          <w:lang w:val="en-US"/>
        </w:rPr>
        <w:t xml:space="preserve">. </w:t>
      </w:r>
      <w:r w:rsidR="00333504">
        <w:rPr>
          <w:rFonts w:ascii="Calibri" w:hAnsi="Calibri" w:cs="Calibri"/>
          <w:noProof/>
          <w:lang w:val="en-US"/>
        </w:rPr>
        <w:t xml:space="preserve">London: Public Health England. </w:t>
      </w:r>
      <w:r w:rsidRPr="00CE3D6F">
        <w:rPr>
          <w:rFonts w:ascii="Calibri" w:hAnsi="Calibri" w:cs="Calibri"/>
          <w:noProof/>
          <w:lang w:val="en-US"/>
        </w:rPr>
        <w:t>2016.</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4.</w:t>
      </w:r>
      <w:r w:rsidRPr="00CE3D6F">
        <w:rPr>
          <w:rFonts w:ascii="Calibri" w:hAnsi="Calibri" w:cs="Calibri"/>
          <w:noProof/>
          <w:lang w:val="en-US"/>
        </w:rPr>
        <w:tab/>
        <w:t xml:space="preserve">UNAIDS. </w:t>
      </w:r>
      <w:r w:rsidRPr="00E13ECA">
        <w:rPr>
          <w:rFonts w:ascii="Calibri" w:hAnsi="Calibri" w:cs="Calibri"/>
          <w:i/>
          <w:noProof/>
          <w:lang w:val="en-US"/>
        </w:rPr>
        <w:t>90-90-90: An ambitious treatment target to help end the AIDS epidemic</w:t>
      </w:r>
      <w:r w:rsidRPr="00CE3D6F">
        <w:rPr>
          <w:rFonts w:ascii="Calibri" w:hAnsi="Calibri" w:cs="Calibri"/>
          <w:noProof/>
          <w:lang w:val="en-US"/>
        </w:rPr>
        <w:t xml:space="preserve">. Geneva: Joint United Nations </w:t>
      </w:r>
      <w:r w:rsidR="00333504">
        <w:rPr>
          <w:rFonts w:ascii="Calibri" w:hAnsi="Calibri" w:cs="Calibri"/>
          <w:noProof/>
          <w:lang w:val="en-US"/>
        </w:rPr>
        <w:t xml:space="preserve">Programme on HIV/AIDS (UNAIDS). </w:t>
      </w:r>
      <w:r w:rsidRPr="00CE3D6F">
        <w:rPr>
          <w:rFonts w:ascii="Calibri" w:hAnsi="Calibri" w:cs="Calibri"/>
          <w:noProof/>
          <w:lang w:val="en-US"/>
        </w:rPr>
        <w:t>2014.</w:t>
      </w:r>
    </w:p>
    <w:p w:rsidR="00CE3D6F" w:rsidRPr="004B251B" w:rsidRDefault="00CE3D6F" w:rsidP="00CE3D6F">
      <w:pPr>
        <w:spacing w:after="0" w:line="240" w:lineRule="auto"/>
        <w:rPr>
          <w:rFonts w:ascii="Calibri" w:hAnsi="Calibri" w:cs="Calibri"/>
          <w:noProof/>
          <w:lang w:val="en-US"/>
        </w:rPr>
      </w:pPr>
      <w:r w:rsidRPr="00CE3D6F">
        <w:rPr>
          <w:rFonts w:ascii="Calibri" w:hAnsi="Calibri" w:cs="Calibri"/>
          <w:noProof/>
          <w:lang w:val="en-US"/>
        </w:rPr>
        <w:t>5.</w:t>
      </w:r>
      <w:r w:rsidRPr="00CE3D6F">
        <w:rPr>
          <w:rFonts w:ascii="Calibri" w:hAnsi="Calibri" w:cs="Calibri"/>
          <w:noProof/>
          <w:lang w:val="en-US"/>
        </w:rPr>
        <w:tab/>
        <w:t xml:space="preserve">World Health Organisation. </w:t>
      </w:r>
      <w:r w:rsidRPr="00E13ECA">
        <w:rPr>
          <w:rFonts w:ascii="Calibri" w:hAnsi="Calibri" w:cs="Calibri"/>
          <w:i/>
          <w:noProof/>
          <w:lang w:val="en-US"/>
        </w:rPr>
        <w:t>Guidance on provider-initiated HIV testing and counselling in health facilities</w:t>
      </w:r>
      <w:r w:rsidRPr="00CE3D6F">
        <w:rPr>
          <w:rFonts w:ascii="Calibri" w:hAnsi="Calibri" w:cs="Calibri"/>
          <w:noProof/>
          <w:lang w:val="en-US"/>
        </w:rPr>
        <w:t>. Ge</w:t>
      </w:r>
      <w:r w:rsidR="00333504">
        <w:rPr>
          <w:rFonts w:ascii="Calibri" w:hAnsi="Calibri" w:cs="Calibri"/>
          <w:noProof/>
          <w:lang w:val="en-US"/>
        </w:rPr>
        <w:t xml:space="preserve">neva: World Health </w:t>
      </w:r>
      <w:r w:rsidR="00333504" w:rsidRPr="004B251B">
        <w:rPr>
          <w:rFonts w:ascii="Calibri" w:hAnsi="Calibri" w:cs="Calibri"/>
          <w:noProof/>
          <w:lang w:val="en-US"/>
        </w:rPr>
        <w:t xml:space="preserve">Organisation. </w:t>
      </w:r>
      <w:r w:rsidRPr="004B251B">
        <w:rPr>
          <w:rFonts w:ascii="Calibri" w:hAnsi="Calibri" w:cs="Calibri"/>
          <w:noProof/>
          <w:lang w:val="en-US"/>
        </w:rPr>
        <w:t>2007.</w:t>
      </w:r>
    </w:p>
    <w:p w:rsidR="00CE3D6F" w:rsidRPr="004B251B" w:rsidRDefault="00CE3D6F" w:rsidP="00CE3D6F">
      <w:pPr>
        <w:spacing w:after="0" w:line="240" w:lineRule="auto"/>
        <w:rPr>
          <w:rFonts w:ascii="Calibri" w:hAnsi="Calibri" w:cs="Calibri"/>
          <w:noProof/>
          <w:lang w:val="en-US"/>
        </w:rPr>
      </w:pPr>
      <w:r w:rsidRPr="004B251B">
        <w:t>6.</w:t>
      </w:r>
      <w:r w:rsidRPr="004B251B">
        <w:tab/>
      </w:r>
      <w:r w:rsidRPr="004B251B">
        <w:rPr>
          <w:rFonts w:ascii="Calibri" w:hAnsi="Calibri" w:cs="Calibri"/>
          <w:noProof/>
          <w:lang w:val="en-US"/>
        </w:rPr>
        <w:t xml:space="preserve">World Health Organisation. </w:t>
      </w:r>
      <w:r w:rsidRPr="004B251B">
        <w:rPr>
          <w:rFonts w:ascii="Calibri" w:hAnsi="Calibri" w:cs="Calibri"/>
          <w:i/>
          <w:noProof/>
          <w:lang w:val="en-US"/>
        </w:rPr>
        <w:t>Statement on HIV testing and counseling: WHO, UNAIDS re-affirm opposition to mandatory HIV testing</w:t>
      </w:r>
      <w:r w:rsidR="00C63B7B" w:rsidRPr="004B251B">
        <w:rPr>
          <w:rFonts w:ascii="Calibri" w:hAnsi="Calibri" w:cs="Calibri"/>
          <w:i/>
          <w:noProof/>
          <w:lang w:val="en-US"/>
        </w:rPr>
        <w:t xml:space="preserve">. </w:t>
      </w:r>
      <w:r w:rsidR="00C63B7B" w:rsidRPr="004B251B">
        <w:rPr>
          <w:rFonts w:ascii="Calibri" w:hAnsi="Calibri" w:cs="Calibri"/>
          <w:noProof/>
          <w:lang w:val="en-US"/>
        </w:rPr>
        <w:t>Geneva</w:t>
      </w:r>
      <w:r w:rsidRPr="004B251B">
        <w:rPr>
          <w:rFonts w:ascii="Calibri" w:hAnsi="Calibri" w:cs="Calibri"/>
          <w:noProof/>
          <w:lang w:val="en-US"/>
        </w:rPr>
        <w:t>: W</w:t>
      </w:r>
      <w:r w:rsidR="00C63B7B" w:rsidRPr="004B251B">
        <w:rPr>
          <w:rFonts w:ascii="Calibri" w:hAnsi="Calibri" w:cs="Calibri"/>
          <w:noProof/>
          <w:lang w:val="en-US"/>
        </w:rPr>
        <w:t xml:space="preserve">orld Health Organisation </w:t>
      </w:r>
      <w:r w:rsidRPr="004B251B">
        <w:rPr>
          <w:rFonts w:ascii="Calibri" w:hAnsi="Calibri" w:cs="Calibri"/>
          <w:noProof/>
          <w:lang w:val="en-US"/>
        </w:rPr>
        <w:t>http://www.who.int/hiv/events/2012/world_aids_day/hiv_testing_counselling/en/</w:t>
      </w:r>
      <w:r w:rsidR="00C63B7B" w:rsidRPr="004B251B">
        <w:rPr>
          <w:rFonts w:ascii="Calibri" w:hAnsi="Calibri" w:cs="Calibri"/>
          <w:noProof/>
          <w:lang w:val="en-US"/>
        </w:rPr>
        <w:t xml:space="preserve"> (2012, accessed 24 November 2017)</w:t>
      </w:r>
    </w:p>
    <w:p w:rsidR="00CE3D6F" w:rsidRPr="004B251B" w:rsidRDefault="00CE3D6F" w:rsidP="00CE3D6F">
      <w:pPr>
        <w:spacing w:after="0" w:line="240" w:lineRule="auto"/>
        <w:rPr>
          <w:rFonts w:ascii="Calibri" w:hAnsi="Calibri" w:cs="Calibri"/>
          <w:noProof/>
          <w:lang w:val="en-US"/>
        </w:rPr>
      </w:pPr>
      <w:r w:rsidRPr="004B251B">
        <w:rPr>
          <w:rFonts w:ascii="Calibri" w:hAnsi="Calibri" w:cs="Calibri"/>
          <w:noProof/>
          <w:lang w:val="en-US"/>
        </w:rPr>
        <w:t>7.</w:t>
      </w:r>
      <w:r w:rsidRPr="004B251B">
        <w:rPr>
          <w:rFonts w:ascii="Calibri" w:hAnsi="Calibri" w:cs="Calibri"/>
          <w:noProof/>
          <w:lang w:val="en-US"/>
        </w:rPr>
        <w:tab/>
        <w:t xml:space="preserve">World Health Organisation. </w:t>
      </w:r>
      <w:r w:rsidRPr="004B251B">
        <w:rPr>
          <w:rFonts w:ascii="Calibri" w:hAnsi="Calibri" w:cs="Calibri"/>
          <w:i/>
          <w:noProof/>
          <w:lang w:val="en-US"/>
        </w:rPr>
        <w:t>Consolidated Guidelines on HIV Testing Services. 5Cs: Consent, Confidentiality, Counselling, Correct Results and Connection</w:t>
      </w:r>
      <w:r w:rsidRPr="004B251B">
        <w:rPr>
          <w:rFonts w:ascii="Calibri" w:hAnsi="Calibri" w:cs="Calibri"/>
          <w:noProof/>
          <w:lang w:val="en-US"/>
        </w:rPr>
        <w:t>. Gen</w:t>
      </w:r>
      <w:r w:rsidR="00333504" w:rsidRPr="004B251B">
        <w:rPr>
          <w:rFonts w:ascii="Calibri" w:hAnsi="Calibri" w:cs="Calibri"/>
          <w:noProof/>
          <w:lang w:val="en-US"/>
        </w:rPr>
        <w:t xml:space="preserve">eva: World Health Organisation. </w:t>
      </w:r>
      <w:r w:rsidRPr="004B251B">
        <w:rPr>
          <w:rFonts w:ascii="Calibri" w:hAnsi="Calibri" w:cs="Calibri"/>
          <w:noProof/>
          <w:lang w:val="en-US"/>
        </w:rPr>
        <w:t>2015.</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8.</w:t>
      </w:r>
      <w:r w:rsidRPr="00CE3D6F">
        <w:rPr>
          <w:rFonts w:ascii="Calibri" w:hAnsi="Calibri" w:cs="Calibri"/>
          <w:noProof/>
          <w:lang w:val="en-US"/>
        </w:rPr>
        <w:tab/>
        <w:t>Ogaz D</w:t>
      </w:r>
      <w:r w:rsidR="008A3042">
        <w:rPr>
          <w:rFonts w:ascii="Calibri" w:hAnsi="Calibri" w:cs="Calibri"/>
          <w:noProof/>
          <w:lang w:val="en-US"/>
        </w:rPr>
        <w:t xml:space="preserve"> FM, Connor N, Gill ON et al</w:t>
      </w:r>
      <w:r w:rsidRPr="00CE3D6F">
        <w:rPr>
          <w:rFonts w:ascii="Calibri" w:hAnsi="Calibri" w:cs="Calibri"/>
          <w:noProof/>
          <w:lang w:val="en-US"/>
        </w:rPr>
        <w:t xml:space="preserve">. </w:t>
      </w:r>
      <w:r w:rsidRPr="008A3042">
        <w:rPr>
          <w:rFonts w:ascii="Calibri" w:hAnsi="Calibri" w:cs="Calibri"/>
          <w:i/>
          <w:noProof/>
          <w:lang w:val="en-US"/>
        </w:rPr>
        <w:t>HIV testing in England: 2016 report</w:t>
      </w:r>
      <w:r w:rsidRPr="00CE3D6F">
        <w:rPr>
          <w:rFonts w:ascii="Calibri" w:hAnsi="Calibri" w:cs="Calibri"/>
          <w:noProof/>
          <w:lang w:val="en-US"/>
        </w:rPr>
        <w:t>.</w:t>
      </w:r>
      <w:r w:rsidR="00333504">
        <w:rPr>
          <w:rFonts w:ascii="Calibri" w:hAnsi="Calibri" w:cs="Calibri"/>
          <w:noProof/>
          <w:lang w:val="en-US"/>
        </w:rPr>
        <w:t xml:space="preserve"> London: Public Health England. </w:t>
      </w:r>
      <w:r w:rsidRPr="00CE3D6F">
        <w:rPr>
          <w:rFonts w:ascii="Calibri" w:hAnsi="Calibri" w:cs="Calibri"/>
          <w:noProof/>
          <w:lang w:val="en-US"/>
        </w:rPr>
        <w:t>2016.</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9.</w:t>
      </w:r>
      <w:r w:rsidRPr="00CE3D6F">
        <w:rPr>
          <w:rFonts w:ascii="Calibri" w:hAnsi="Calibri" w:cs="Calibri"/>
          <w:noProof/>
          <w:lang w:val="en-US"/>
        </w:rPr>
        <w:tab/>
        <w:t xml:space="preserve">British HIV Association, British Association for Sexual Health and HIV, British Infection Society  </w:t>
      </w:r>
      <w:r w:rsidRPr="001D77F3">
        <w:rPr>
          <w:rFonts w:ascii="Calibri" w:hAnsi="Calibri" w:cs="Calibri"/>
          <w:i/>
          <w:noProof/>
          <w:lang w:val="en-US"/>
        </w:rPr>
        <w:t>UK National Guidelines for HIV Testing 2008</w:t>
      </w:r>
      <w:r w:rsidRPr="00CE3D6F">
        <w:rPr>
          <w:rFonts w:ascii="Calibri" w:hAnsi="Calibri" w:cs="Calibri"/>
          <w:noProof/>
          <w:lang w:val="en-US"/>
        </w:rPr>
        <w:t xml:space="preserve">. </w:t>
      </w:r>
      <w:r w:rsidR="00333504">
        <w:rPr>
          <w:rFonts w:ascii="Calibri" w:hAnsi="Calibri" w:cs="Calibri"/>
          <w:noProof/>
          <w:lang w:val="en-US"/>
        </w:rPr>
        <w:t xml:space="preserve">London: British HIV Association. </w:t>
      </w:r>
      <w:r w:rsidRPr="00CE3D6F">
        <w:rPr>
          <w:rFonts w:ascii="Calibri" w:hAnsi="Calibri" w:cs="Calibri"/>
          <w:noProof/>
          <w:lang w:val="en-US"/>
        </w:rPr>
        <w:t>2008.</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10.</w:t>
      </w:r>
      <w:r w:rsidRPr="00CE3D6F">
        <w:rPr>
          <w:rFonts w:ascii="Calibri" w:hAnsi="Calibri" w:cs="Calibri"/>
          <w:noProof/>
          <w:lang w:val="en-US"/>
        </w:rPr>
        <w:tab/>
        <w:t>National Institute for Health and Care Excellence.</w:t>
      </w:r>
      <w:r w:rsidRPr="00333504">
        <w:rPr>
          <w:rFonts w:ascii="Calibri" w:hAnsi="Calibri" w:cs="Calibri"/>
          <w:i/>
          <w:noProof/>
          <w:lang w:val="en-US"/>
        </w:rPr>
        <w:t xml:space="preserve"> HIV testing: increasing uptake among people who may have undiagnosed HIV (NG60)</w:t>
      </w:r>
      <w:r w:rsidR="00333504">
        <w:rPr>
          <w:rFonts w:ascii="Calibri" w:hAnsi="Calibri" w:cs="Calibri"/>
          <w:noProof/>
          <w:lang w:val="en-US"/>
        </w:rPr>
        <w:t xml:space="preserve">. </w:t>
      </w:r>
      <w:r w:rsidRPr="00CE3D6F">
        <w:rPr>
          <w:rFonts w:ascii="Calibri" w:hAnsi="Calibri" w:cs="Calibri"/>
          <w:noProof/>
          <w:lang w:val="en-US"/>
        </w:rPr>
        <w:t>2016.</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11.</w:t>
      </w:r>
      <w:r w:rsidRPr="00CE3D6F">
        <w:rPr>
          <w:rFonts w:ascii="Calibri" w:hAnsi="Calibri" w:cs="Calibri"/>
          <w:noProof/>
          <w:lang w:val="en-US"/>
        </w:rPr>
        <w:tab/>
        <w:t xml:space="preserve">Halve It Coalition. </w:t>
      </w:r>
      <w:r w:rsidRPr="00333504">
        <w:rPr>
          <w:rFonts w:ascii="Calibri" w:hAnsi="Calibri" w:cs="Calibri"/>
          <w:i/>
          <w:noProof/>
          <w:lang w:val="en-US"/>
        </w:rPr>
        <w:t>Early testing saves lives - HIV is a public health priority</w:t>
      </w:r>
      <w:r w:rsidR="00333504">
        <w:rPr>
          <w:rFonts w:ascii="Calibri" w:hAnsi="Calibri" w:cs="Calibri"/>
          <w:noProof/>
          <w:lang w:val="en-US"/>
        </w:rPr>
        <w:t xml:space="preserve">. </w:t>
      </w:r>
      <w:r w:rsidRPr="00CE3D6F">
        <w:rPr>
          <w:rFonts w:ascii="Calibri" w:hAnsi="Calibri" w:cs="Calibri"/>
          <w:noProof/>
          <w:lang w:val="en-US"/>
        </w:rPr>
        <w:t>2011.</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12.</w:t>
      </w:r>
      <w:r w:rsidRPr="00CE3D6F">
        <w:rPr>
          <w:rFonts w:ascii="Calibri" w:hAnsi="Calibri" w:cs="Calibri"/>
          <w:noProof/>
          <w:lang w:val="en-US"/>
        </w:rPr>
        <w:tab/>
      </w:r>
      <w:r w:rsidR="00333504" w:rsidRPr="00333504">
        <w:rPr>
          <w:rFonts w:ascii="Calibri" w:hAnsi="Calibri" w:cs="Calibri"/>
          <w:noProof/>
          <w:lang w:val="en-US"/>
        </w:rPr>
        <w:t>May, MT, Gompels, M, Delpech, V</w:t>
      </w:r>
      <w:r w:rsidR="00861FF3">
        <w:rPr>
          <w:rFonts w:ascii="Calibri" w:hAnsi="Calibri" w:cs="Calibri"/>
          <w:noProof/>
          <w:lang w:val="en-US"/>
        </w:rPr>
        <w:t xml:space="preserve"> et al.</w:t>
      </w:r>
      <w:r w:rsidR="00333504" w:rsidRPr="00333504">
        <w:rPr>
          <w:rFonts w:ascii="Calibri" w:hAnsi="Calibri" w:cs="Calibri"/>
          <w:noProof/>
          <w:lang w:val="en-US"/>
        </w:rPr>
        <w:t xml:space="preserve">. Impact on life expectancy of HIV-1 positive individuals of CD4+ cell count and viral load response to antiretroviral therapy. </w:t>
      </w:r>
      <w:r w:rsidR="00333504" w:rsidRPr="00333504">
        <w:rPr>
          <w:rFonts w:ascii="Calibri" w:hAnsi="Calibri" w:cs="Calibri"/>
          <w:i/>
          <w:noProof/>
          <w:lang w:val="en-US"/>
        </w:rPr>
        <w:t>AIDS</w:t>
      </w:r>
      <w:r w:rsidR="00333504">
        <w:rPr>
          <w:rFonts w:ascii="Calibri" w:hAnsi="Calibri" w:cs="Calibri"/>
          <w:noProof/>
          <w:lang w:val="en-US"/>
        </w:rPr>
        <w:t>.</w:t>
      </w:r>
      <w:r w:rsidR="00333504" w:rsidRPr="00333504">
        <w:rPr>
          <w:rFonts w:ascii="Calibri" w:hAnsi="Calibri" w:cs="Calibri"/>
          <w:noProof/>
          <w:lang w:val="en-US"/>
        </w:rPr>
        <w:t xml:space="preserve"> 2014; 28: 1193–1202</w:t>
      </w:r>
      <w:r w:rsidRPr="00CE3D6F">
        <w:rPr>
          <w:rFonts w:ascii="Calibri" w:hAnsi="Calibri" w:cs="Calibri"/>
          <w:noProof/>
          <w:lang w:val="en-US"/>
        </w:rPr>
        <w:tab/>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 xml:space="preserve">13.       </w:t>
      </w:r>
      <w:r w:rsidR="00861FF3" w:rsidRPr="00861FF3">
        <w:rPr>
          <w:rFonts w:ascii="Calibri" w:hAnsi="Calibri" w:cs="Calibri"/>
          <w:noProof/>
          <w:lang w:val="en-US"/>
        </w:rPr>
        <w:t xml:space="preserve">Nakagawa, F, Lodwick, RK, Smith, CJ. Projected life expectancy of people with HIV according to timing of diagnosis. </w:t>
      </w:r>
      <w:r w:rsidR="00861FF3" w:rsidRPr="00861FF3">
        <w:rPr>
          <w:rFonts w:ascii="Calibri" w:hAnsi="Calibri" w:cs="Calibri"/>
          <w:i/>
          <w:noProof/>
          <w:lang w:val="en-US"/>
        </w:rPr>
        <w:t>AIDS</w:t>
      </w:r>
      <w:r w:rsidR="00861FF3">
        <w:rPr>
          <w:rFonts w:ascii="Calibri" w:hAnsi="Calibri" w:cs="Calibri"/>
          <w:noProof/>
          <w:lang w:val="en-US"/>
        </w:rPr>
        <w:t xml:space="preserve">. </w:t>
      </w:r>
      <w:r w:rsidR="00861FF3" w:rsidRPr="00861FF3">
        <w:rPr>
          <w:rFonts w:ascii="Calibri" w:hAnsi="Calibri" w:cs="Calibri"/>
          <w:noProof/>
          <w:lang w:val="en-US"/>
        </w:rPr>
        <w:t>2012; 26: 335–343</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14.</w:t>
      </w:r>
      <w:r w:rsidRPr="00CE3D6F">
        <w:rPr>
          <w:rFonts w:ascii="Calibri" w:hAnsi="Calibri" w:cs="Calibri"/>
          <w:noProof/>
          <w:lang w:val="en-US"/>
        </w:rPr>
        <w:tab/>
      </w:r>
      <w:r w:rsidR="00861FF3" w:rsidRPr="00861FF3">
        <w:rPr>
          <w:rFonts w:ascii="Calibri" w:hAnsi="Calibri" w:cs="Calibri"/>
          <w:noProof/>
          <w:lang w:val="en-US"/>
        </w:rPr>
        <w:t>Mocroft, A, Lundgren, JD, Sabin, ML</w:t>
      </w:r>
      <w:r w:rsidR="00861FF3">
        <w:rPr>
          <w:rFonts w:ascii="Calibri" w:hAnsi="Calibri" w:cs="Calibri"/>
          <w:noProof/>
          <w:lang w:val="en-US"/>
        </w:rPr>
        <w:t xml:space="preserve"> et al</w:t>
      </w:r>
      <w:r w:rsidR="00861FF3" w:rsidRPr="00861FF3">
        <w:rPr>
          <w:rFonts w:ascii="Calibri" w:hAnsi="Calibri" w:cs="Calibri"/>
          <w:noProof/>
          <w:lang w:val="en-US"/>
        </w:rPr>
        <w:t xml:space="preserve">. Risk factors and outcomes for late presentation for HIV-positive persons in Europe: results from the Collaboration of Observational HIV Epidemiological Research Europe Study (COHERE). </w:t>
      </w:r>
      <w:r w:rsidR="00861FF3" w:rsidRPr="00861FF3">
        <w:rPr>
          <w:rFonts w:ascii="Calibri" w:hAnsi="Calibri" w:cs="Calibri"/>
          <w:i/>
          <w:noProof/>
          <w:lang w:val="en-US"/>
        </w:rPr>
        <w:t>PLoS Med</w:t>
      </w:r>
      <w:r w:rsidR="00861FF3">
        <w:rPr>
          <w:rFonts w:ascii="Calibri" w:hAnsi="Calibri" w:cs="Calibri"/>
          <w:noProof/>
          <w:lang w:val="en-US"/>
        </w:rPr>
        <w:t xml:space="preserve">. </w:t>
      </w:r>
      <w:r w:rsidR="00861FF3" w:rsidRPr="00861FF3">
        <w:rPr>
          <w:rFonts w:ascii="Calibri" w:hAnsi="Calibri" w:cs="Calibri"/>
          <w:noProof/>
          <w:lang w:val="en-US"/>
        </w:rPr>
        <w:t>2013; 10: e1001510.</w:t>
      </w:r>
      <w:r w:rsidRPr="00CE3D6F">
        <w:rPr>
          <w:rFonts w:ascii="Calibri" w:hAnsi="Calibri" w:cs="Calibri"/>
          <w:noProof/>
          <w:lang w:val="en-US"/>
        </w:rPr>
        <w:t>.</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15.</w:t>
      </w:r>
      <w:r w:rsidRPr="00CE3D6F">
        <w:rPr>
          <w:rFonts w:ascii="Calibri" w:hAnsi="Calibri" w:cs="Calibri"/>
          <w:noProof/>
          <w:lang w:val="en-US"/>
        </w:rPr>
        <w:tab/>
      </w:r>
      <w:r w:rsidR="00B40276" w:rsidRPr="00B40276">
        <w:rPr>
          <w:rFonts w:ascii="Calibri" w:hAnsi="Calibri" w:cs="Calibri"/>
          <w:noProof/>
          <w:lang w:val="en-US"/>
        </w:rPr>
        <w:t xml:space="preserve">National Institute for Health and Care Excellence. </w:t>
      </w:r>
      <w:r w:rsidR="00B40276" w:rsidRPr="00B40276">
        <w:rPr>
          <w:rFonts w:ascii="Calibri" w:hAnsi="Calibri" w:cs="Calibri"/>
          <w:i/>
          <w:noProof/>
          <w:lang w:val="en-US"/>
        </w:rPr>
        <w:t>HIV testing: increasing uptake in men who have sex with men [PH34]</w:t>
      </w:r>
      <w:r w:rsidR="00B40276">
        <w:rPr>
          <w:rFonts w:ascii="Calibri" w:hAnsi="Calibri" w:cs="Calibri"/>
          <w:noProof/>
          <w:lang w:val="en-US"/>
        </w:rPr>
        <w:t xml:space="preserve">. </w:t>
      </w:r>
      <w:r w:rsidR="00B40276" w:rsidRPr="00B40276">
        <w:rPr>
          <w:rFonts w:ascii="Calibri" w:hAnsi="Calibri" w:cs="Calibri"/>
          <w:noProof/>
          <w:lang w:val="en-US"/>
        </w:rPr>
        <w:t>2011</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16.</w:t>
      </w:r>
      <w:r w:rsidRPr="00CE3D6F">
        <w:rPr>
          <w:rFonts w:ascii="Calibri" w:hAnsi="Calibri" w:cs="Calibri"/>
          <w:noProof/>
          <w:lang w:val="en-US"/>
        </w:rPr>
        <w:tab/>
        <w:t>UNAIDS. The Gap Report. Geneva: UN Joint Programme on HIV/AIDS (UNAIDS), 2014.</w:t>
      </w:r>
    </w:p>
    <w:p w:rsidR="00CE3D6F" w:rsidRPr="00B40276" w:rsidRDefault="00CE3D6F" w:rsidP="00B40276">
      <w:pPr>
        <w:spacing w:after="0" w:line="240" w:lineRule="auto"/>
        <w:rPr>
          <w:rFonts w:ascii="Calibri" w:hAnsi="Calibri" w:cs="Calibri"/>
          <w:noProof/>
          <w:lang w:val="en-US"/>
        </w:rPr>
      </w:pPr>
      <w:r w:rsidRPr="00CE3D6F">
        <w:rPr>
          <w:rFonts w:ascii="Calibri" w:hAnsi="Calibri" w:cs="Calibri"/>
          <w:noProof/>
          <w:lang w:val="en-US"/>
        </w:rPr>
        <w:t>17.</w:t>
      </w:r>
      <w:r w:rsidRPr="00CE3D6F">
        <w:rPr>
          <w:rFonts w:ascii="Calibri" w:hAnsi="Calibri" w:cs="Calibri"/>
          <w:noProof/>
          <w:lang w:val="en-US"/>
        </w:rPr>
        <w:tab/>
      </w:r>
      <w:r w:rsidR="00B40276" w:rsidRPr="00B40276">
        <w:rPr>
          <w:rFonts w:ascii="Calibri" w:hAnsi="Calibri" w:cs="Calibri"/>
          <w:noProof/>
          <w:lang w:val="en-US"/>
        </w:rPr>
        <w:t xml:space="preserve">Public Health England . </w:t>
      </w:r>
      <w:r w:rsidR="00B40276" w:rsidRPr="00B40276">
        <w:rPr>
          <w:rFonts w:ascii="Calibri" w:hAnsi="Calibri" w:cs="Calibri"/>
          <w:i/>
          <w:noProof/>
          <w:lang w:val="en-US"/>
        </w:rPr>
        <w:t>United Kingdom National HIV surveillance data tables. No. 1: 2016</w:t>
      </w:r>
      <w:r w:rsidR="00B40276" w:rsidRPr="00B40276">
        <w:rPr>
          <w:rFonts w:ascii="Calibri" w:hAnsi="Calibri" w:cs="Calibri"/>
          <w:noProof/>
          <w:lang w:val="en-US"/>
        </w:rPr>
        <w:t>, https://www.gov.uk/government/uploads/system/uploads/attachment_data/file/525154/National_Tables23052016.xls (2016, accessed 19 November 2017).</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18.</w:t>
      </w:r>
      <w:r w:rsidRPr="00CE3D6F">
        <w:rPr>
          <w:rFonts w:ascii="Calibri" w:hAnsi="Calibri" w:cs="Calibri"/>
          <w:noProof/>
          <w:lang w:val="en-US"/>
        </w:rPr>
        <w:tab/>
      </w:r>
      <w:r w:rsidR="00B40276" w:rsidRPr="00B40276">
        <w:rPr>
          <w:rFonts w:ascii="Calibri" w:hAnsi="Calibri" w:cs="Calibri"/>
          <w:noProof/>
          <w:lang w:val="en-US"/>
        </w:rPr>
        <w:t>Yin, ZBA, Hughes, G, Nardone, A</w:t>
      </w:r>
      <w:r w:rsidR="00B40276">
        <w:rPr>
          <w:rFonts w:ascii="Calibri" w:hAnsi="Calibri" w:cs="Calibri"/>
          <w:noProof/>
          <w:lang w:val="en-US"/>
        </w:rPr>
        <w:t xml:space="preserve"> et al</w:t>
      </w:r>
      <w:r w:rsidR="00B40276" w:rsidRPr="00B40276">
        <w:rPr>
          <w:rFonts w:ascii="Calibri" w:hAnsi="Calibri" w:cs="Calibri"/>
          <w:noProof/>
          <w:lang w:val="en-US"/>
        </w:rPr>
        <w:t>.</w:t>
      </w:r>
      <w:r w:rsidR="00B40276" w:rsidRPr="00B40276">
        <w:rPr>
          <w:rFonts w:ascii="Calibri" w:hAnsi="Calibri" w:cs="Calibri"/>
          <w:i/>
          <w:noProof/>
          <w:lang w:val="en-US"/>
        </w:rPr>
        <w:t xml:space="preserve"> HIV in the United Kingdom 2014 report: data to end 2013</w:t>
      </w:r>
      <w:r w:rsidR="00B40276">
        <w:rPr>
          <w:rFonts w:ascii="Calibri" w:hAnsi="Calibri" w:cs="Calibri"/>
          <w:noProof/>
          <w:lang w:val="en-US"/>
        </w:rPr>
        <w:t>. London: Public Health England.</w:t>
      </w:r>
      <w:r w:rsidR="00B40276" w:rsidRPr="00B40276">
        <w:rPr>
          <w:rFonts w:ascii="Calibri" w:hAnsi="Calibri" w:cs="Calibri"/>
          <w:noProof/>
          <w:lang w:val="en-US"/>
        </w:rPr>
        <w:t xml:space="preserve"> 2014</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19.</w:t>
      </w:r>
      <w:r w:rsidRPr="00CE3D6F">
        <w:rPr>
          <w:rFonts w:ascii="Calibri" w:hAnsi="Calibri" w:cs="Calibri"/>
          <w:noProof/>
          <w:lang w:val="en-US"/>
        </w:rPr>
        <w:tab/>
      </w:r>
      <w:r w:rsidR="00F46E2C" w:rsidRPr="00F46E2C">
        <w:rPr>
          <w:rFonts w:ascii="Calibri" w:hAnsi="Calibri" w:cs="Calibri"/>
          <w:noProof/>
          <w:lang w:val="en-US"/>
        </w:rPr>
        <w:t xml:space="preserve">Phillips, A, Pezzotti, P, Collaboration, C. Short-term risk of AIDS according to current CD4 cell count and viral load in antiretroviral drug-naive individuals and those treated in the monotherapy era. </w:t>
      </w:r>
      <w:r w:rsidR="00F46E2C" w:rsidRPr="00F46E2C">
        <w:rPr>
          <w:rFonts w:ascii="Calibri" w:hAnsi="Calibri" w:cs="Calibri"/>
          <w:i/>
          <w:noProof/>
          <w:lang w:val="en-US"/>
        </w:rPr>
        <w:t>AIDS</w:t>
      </w:r>
      <w:r w:rsidR="00F46E2C">
        <w:rPr>
          <w:rFonts w:ascii="Calibri" w:hAnsi="Calibri" w:cs="Calibri"/>
          <w:noProof/>
          <w:lang w:val="en-US"/>
        </w:rPr>
        <w:t xml:space="preserve">. </w:t>
      </w:r>
      <w:r w:rsidR="00F46E2C" w:rsidRPr="00F46E2C">
        <w:rPr>
          <w:rFonts w:ascii="Calibri" w:hAnsi="Calibri" w:cs="Calibri"/>
          <w:noProof/>
          <w:lang w:val="en-US"/>
        </w:rPr>
        <w:t>2004; 18: 51–58</w:t>
      </w:r>
      <w:r w:rsidR="00F46E2C">
        <w:rPr>
          <w:rFonts w:ascii="Calibri" w:hAnsi="Calibri" w:cs="Calibri"/>
          <w:noProof/>
          <w:lang w:val="en-US"/>
        </w:rPr>
        <w:t xml:space="preserve">. </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20.</w:t>
      </w:r>
      <w:r w:rsidRPr="00CE3D6F">
        <w:rPr>
          <w:rFonts w:ascii="Calibri" w:hAnsi="Calibri" w:cs="Calibri"/>
          <w:noProof/>
          <w:lang w:val="en-US"/>
        </w:rPr>
        <w:tab/>
        <w:t>Gott</w:t>
      </w:r>
      <w:r w:rsidR="00F46E2C">
        <w:rPr>
          <w:rFonts w:ascii="Calibri" w:hAnsi="Calibri" w:cs="Calibri"/>
          <w:noProof/>
          <w:lang w:val="en-US"/>
        </w:rPr>
        <w:t>,</w:t>
      </w:r>
      <w:r w:rsidRPr="00CE3D6F">
        <w:rPr>
          <w:rFonts w:ascii="Calibri" w:hAnsi="Calibri" w:cs="Calibri"/>
          <w:noProof/>
          <w:lang w:val="en-US"/>
        </w:rPr>
        <w:t xml:space="preserve"> M. </w:t>
      </w:r>
      <w:r w:rsidRPr="00F46E2C">
        <w:rPr>
          <w:rFonts w:ascii="Calibri" w:hAnsi="Calibri" w:cs="Calibri"/>
          <w:i/>
          <w:noProof/>
          <w:lang w:val="en-US"/>
        </w:rPr>
        <w:t>Sexuality, sexual health and ageing</w:t>
      </w:r>
      <w:r w:rsidRPr="00CE3D6F">
        <w:rPr>
          <w:rFonts w:ascii="Calibri" w:hAnsi="Calibri" w:cs="Calibri"/>
          <w:noProof/>
          <w:lang w:val="en-US"/>
        </w:rPr>
        <w:t>. Ma</w:t>
      </w:r>
      <w:r w:rsidR="00F46E2C">
        <w:rPr>
          <w:rFonts w:ascii="Calibri" w:hAnsi="Calibri" w:cs="Calibri"/>
          <w:noProof/>
          <w:lang w:val="en-US"/>
        </w:rPr>
        <w:t>idenhead: Open University Press.</w:t>
      </w:r>
      <w:r w:rsidRPr="00CE3D6F">
        <w:rPr>
          <w:rFonts w:ascii="Calibri" w:hAnsi="Calibri" w:cs="Calibri"/>
          <w:noProof/>
          <w:lang w:val="en-US"/>
        </w:rPr>
        <w:t xml:space="preserve"> 2005.</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21.</w:t>
      </w:r>
      <w:r w:rsidRPr="00CE3D6F">
        <w:rPr>
          <w:rFonts w:ascii="Calibri" w:hAnsi="Calibri" w:cs="Calibri"/>
          <w:noProof/>
          <w:lang w:val="en-US"/>
        </w:rPr>
        <w:tab/>
      </w:r>
      <w:r w:rsidR="00334FB5" w:rsidRPr="00334FB5">
        <w:rPr>
          <w:rFonts w:ascii="Calibri" w:hAnsi="Calibri" w:cs="Calibri"/>
          <w:noProof/>
          <w:lang w:val="en-US"/>
        </w:rPr>
        <w:t>Rosenfeld, DAJ, Ridge, D, Asboe, D</w:t>
      </w:r>
      <w:r w:rsidR="00334FB5">
        <w:rPr>
          <w:rFonts w:ascii="Calibri" w:hAnsi="Calibri" w:cs="Calibri"/>
          <w:noProof/>
          <w:lang w:val="en-US"/>
        </w:rPr>
        <w:t xml:space="preserve"> et al.</w:t>
      </w:r>
      <w:r w:rsidR="00334FB5" w:rsidRPr="00334FB5">
        <w:rPr>
          <w:rFonts w:ascii="Calibri" w:hAnsi="Calibri" w:cs="Calibri"/>
          <w:noProof/>
          <w:lang w:val="en-US"/>
        </w:rPr>
        <w:t xml:space="preserve"> </w:t>
      </w:r>
      <w:r w:rsidR="00334FB5" w:rsidRPr="00334FB5">
        <w:rPr>
          <w:rFonts w:ascii="Calibri" w:hAnsi="Calibri" w:cs="Calibri"/>
          <w:i/>
          <w:noProof/>
          <w:lang w:val="en-US"/>
        </w:rPr>
        <w:t>Social support, mental health, and quality of life among older people living with HIV: findings from the HIV and later life</w:t>
      </w:r>
      <w:r w:rsidR="00334FB5" w:rsidRPr="00334FB5">
        <w:rPr>
          <w:rFonts w:ascii="Calibri" w:hAnsi="Calibri" w:cs="Calibri"/>
          <w:noProof/>
          <w:lang w:val="en-US"/>
        </w:rPr>
        <w:t>. Newcastle: Keele University</w:t>
      </w:r>
      <w:r w:rsidR="00334FB5">
        <w:rPr>
          <w:rFonts w:ascii="Calibri" w:hAnsi="Calibri" w:cs="Calibri"/>
          <w:noProof/>
          <w:lang w:val="en-US"/>
        </w:rPr>
        <w:t>.</w:t>
      </w:r>
      <w:r w:rsidR="00334FB5" w:rsidRPr="00334FB5">
        <w:rPr>
          <w:rFonts w:ascii="Calibri" w:hAnsi="Calibri" w:cs="Calibri"/>
          <w:noProof/>
          <w:lang w:val="en-US"/>
        </w:rPr>
        <w:t xml:space="preserve"> 2015</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22.</w:t>
      </w:r>
      <w:r w:rsidRPr="00CE3D6F">
        <w:rPr>
          <w:rFonts w:ascii="Calibri" w:hAnsi="Calibri" w:cs="Calibri"/>
          <w:noProof/>
          <w:lang w:val="en-US"/>
        </w:rPr>
        <w:tab/>
      </w:r>
      <w:r w:rsidR="00334FB5" w:rsidRPr="00334FB5">
        <w:rPr>
          <w:rFonts w:ascii="Calibri" w:hAnsi="Calibri" w:cs="Calibri"/>
          <w:noProof/>
          <w:lang w:val="en-US"/>
        </w:rPr>
        <w:t xml:space="preserve">Pratt, GGK, Cunningham, K, Tunbridge, A. Human immunodeficiency virus (HIV) in older people. </w:t>
      </w:r>
      <w:r w:rsidR="00334FB5" w:rsidRPr="00334FB5">
        <w:rPr>
          <w:rFonts w:ascii="Calibri" w:hAnsi="Calibri" w:cs="Calibri"/>
          <w:i/>
          <w:noProof/>
          <w:lang w:val="en-US"/>
        </w:rPr>
        <w:t>Age Ageing</w:t>
      </w:r>
      <w:r w:rsidR="00334FB5">
        <w:rPr>
          <w:rFonts w:ascii="Calibri" w:hAnsi="Calibri" w:cs="Calibri"/>
          <w:noProof/>
          <w:lang w:val="en-US"/>
        </w:rPr>
        <w:t xml:space="preserve">. </w:t>
      </w:r>
      <w:r w:rsidR="00334FB5" w:rsidRPr="00334FB5">
        <w:rPr>
          <w:rFonts w:ascii="Calibri" w:hAnsi="Calibri" w:cs="Calibri"/>
          <w:noProof/>
          <w:lang w:val="en-US"/>
        </w:rPr>
        <w:t>2010; 39: 289–294</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23.</w:t>
      </w:r>
      <w:r w:rsidRPr="00CE3D6F">
        <w:rPr>
          <w:rFonts w:ascii="Calibri" w:hAnsi="Calibri" w:cs="Calibri"/>
          <w:noProof/>
          <w:lang w:val="en-US"/>
        </w:rPr>
        <w:tab/>
      </w:r>
      <w:r w:rsidR="00CC4DA0" w:rsidRPr="00CC4DA0">
        <w:rPr>
          <w:rFonts w:ascii="Calibri" w:hAnsi="Calibri" w:cs="Calibri"/>
          <w:noProof/>
          <w:lang w:val="en-US"/>
        </w:rPr>
        <w:t>Skingsley, AYZ, Kirwan, P, Croxford, S</w:t>
      </w:r>
      <w:r w:rsidR="00CC4DA0">
        <w:rPr>
          <w:rFonts w:ascii="Calibri" w:hAnsi="Calibri" w:cs="Calibri"/>
          <w:noProof/>
          <w:lang w:val="en-US"/>
        </w:rPr>
        <w:t xml:space="preserve"> et al</w:t>
      </w:r>
      <w:r w:rsidR="00CC4DA0" w:rsidRPr="00CC4DA0">
        <w:rPr>
          <w:rFonts w:ascii="Calibri" w:hAnsi="Calibri" w:cs="Calibri"/>
          <w:noProof/>
          <w:lang w:val="en-US"/>
        </w:rPr>
        <w:t xml:space="preserve">. </w:t>
      </w:r>
      <w:r w:rsidR="00CC4DA0" w:rsidRPr="00CC4DA0">
        <w:rPr>
          <w:rFonts w:ascii="Calibri" w:hAnsi="Calibri" w:cs="Calibri"/>
          <w:i/>
          <w:noProof/>
          <w:lang w:val="en-US"/>
        </w:rPr>
        <w:t>HIV in the UK – situation report 2015: data to end 2014</w:t>
      </w:r>
      <w:r w:rsidR="00CC4DA0" w:rsidRPr="00CC4DA0">
        <w:rPr>
          <w:rFonts w:ascii="Calibri" w:hAnsi="Calibri" w:cs="Calibri"/>
          <w:noProof/>
          <w:lang w:val="en-US"/>
        </w:rPr>
        <w:t>.</w:t>
      </w:r>
      <w:r w:rsidR="00CC4DA0">
        <w:rPr>
          <w:rFonts w:ascii="Calibri" w:hAnsi="Calibri" w:cs="Calibri"/>
          <w:noProof/>
          <w:lang w:val="en-US"/>
        </w:rPr>
        <w:t xml:space="preserve"> London: Public Health England. </w:t>
      </w:r>
      <w:r w:rsidR="00CC4DA0" w:rsidRPr="00CC4DA0">
        <w:rPr>
          <w:rFonts w:ascii="Calibri" w:hAnsi="Calibri" w:cs="Calibri"/>
          <w:noProof/>
          <w:lang w:val="en-US"/>
        </w:rPr>
        <w:t>2015</w:t>
      </w:r>
      <w:r w:rsidRPr="00CE3D6F">
        <w:rPr>
          <w:rFonts w:ascii="Calibri" w:hAnsi="Calibri" w:cs="Calibri"/>
          <w:noProof/>
          <w:lang w:val="en-US"/>
        </w:rPr>
        <w:t>.</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24.</w:t>
      </w:r>
      <w:r w:rsidRPr="00CE3D6F">
        <w:rPr>
          <w:rFonts w:ascii="Calibri" w:hAnsi="Calibri" w:cs="Calibri"/>
          <w:noProof/>
          <w:lang w:val="en-US"/>
        </w:rPr>
        <w:tab/>
        <w:t>Kaufmann</w:t>
      </w:r>
      <w:r w:rsidR="00CC4DA0">
        <w:rPr>
          <w:rFonts w:ascii="Calibri" w:hAnsi="Calibri" w:cs="Calibri"/>
          <w:noProof/>
          <w:lang w:val="en-US"/>
        </w:rPr>
        <w:t>,</w:t>
      </w:r>
      <w:r w:rsidRPr="00CE3D6F">
        <w:rPr>
          <w:rFonts w:ascii="Calibri" w:hAnsi="Calibri" w:cs="Calibri"/>
          <w:noProof/>
          <w:lang w:val="en-US"/>
        </w:rPr>
        <w:t xml:space="preserve"> T. </w:t>
      </w:r>
      <w:r w:rsidRPr="00DE69B9">
        <w:rPr>
          <w:rFonts w:ascii="Calibri" w:hAnsi="Calibri" w:cs="Calibri"/>
          <w:i/>
          <w:noProof/>
          <w:lang w:val="en-US"/>
        </w:rPr>
        <w:t>A crisis of silence: HIV, AIDS and older people</w:t>
      </w:r>
      <w:r w:rsidRPr="00CE3D6F">
        <w:rPr>
          <w:rFonts w:ascii="Calibri" w:hAnsi="Calibri" w:cs="Calibri"/>
          <w:noProof/>
          <w:lang w:val="en-US"/>
        </w:rPr>
        <w:t>. London: Age Concern</w:t>
      </w:r>
      <w:r w:rsidR="00DE69B9">
        <w:rPr>
          <w:rFonts w:ascii="Calibri" w:hAnsi="Calibri" w:cs="Calibri"/>
          <w:noProof/>
          <w:lang w:val="en-US"/>
        </w:rPr>
        <w:t>.</w:t>
      </w:r>
      <w:r w:rsidRPr="00CE3D6F">
        <w:rPr>
          <w:rFonts w:ascii="Calibri" w:hAnsi="Calibri" w:cs="Calibri"/>
          <w:noProof/>
          <w:lang w:val="en-US"/>
        </w:rPr>
        <w:t xml:space="preserve"> 1993.</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25.</w:t>
      </w:r>
      <w:r w:rsidRPr="00CE3D6F">
        <w:rPr>
          <w:rFonts w:ascii="Calibri" w:hAnsi="Calibri" w:cs="Calibri"/>
          <w:noProof/>
          <w:lang w:val="en-US"/>
        </w:rPr>
        <w:tab/>
        <w:t xml:space="preserve">Department of Health. </w:t>
      </w:r>
      <w:r w:rsidRPr="00523039">
        <w:rPr>
          <w:rFonts w:ascii="Calibri" w:hAnsi="Calibri" w:cs="Calibri"/>
          <w:i/>
          <w:noProof/>
          <w:lang w:val="en-US"/>
        </w:rPr>
        <w:t>Better prevention, better services, better sexual health - the national strategy for sexual health</w:t>
      </w:r>
      <w:r w:rsidRPr="00CE3D6F">
        <w:rPr>
          <w:rFonts w:ascii="Calibri" w:hAnsi="Calibri" w:cs="Calibri"/>
          <w:noProof/>
          <w:lang w:val="en-US"/>
        </w:rPr>
        <w:t>. London: Department of Health</w:t>
      </w:r>
      <w:r w:rsidR="00523039">
        <w:rPr>
          <w:rFonts w:ascii="Calibri" w:hAnsi="Calibri" w:cs="Calibri"/>
          <w:noProof/>
          <w:lang w:val="en-US"/>
        </w:rPr>
        <w:t>.</w:t>
      </w:r>
      <w:r w:rsidRPr="00CE3D6F">
        <w:rPr>
          <w:rFonts w:ascii="Calibri" w:hAnsi="Calibri" w:cs="Calibri"/>
          <w:noProof/>
          <w:lang w:val="en-US"/>
        </w:rPr>
        <w:t xml:space="preserve"> 2001.</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26.</w:t>
      </w:r>
      <w:r w:rsidRPr="00CE3D6F">
        <w:rPr>
          <w:rFonts w:ascii="Calibri" w:hAnsi="Calibri" w:cs="Calibri"/>
          <w:noProof/>
          <w:lang w:val="en-US"/>
        </w:rPr>
        <w:tab/>
        <w:t xml:space="preserve">Department of Health. </w:t>
      </w:r>
      <w:r w:rsidRPr="00523039">
        <w:rPr>
          <w:rFonts w:ascii="Calibri" w:hAnsi="Calibri" w:cs="Calibri"/>
          <w:i/>
          <w:noProof/>
          <w:lang w:val="en-US"/>
        </w:rPr>
        <w:t>Choosing Health: Making healthy choices easier</w:t>
      </w:r>
      <w:r w:rsidRPr="00CE3D6F">
        <w:rPr>
          <w:rFonts w:ascii="Calibri" w:hAnsi="Calibri" w:cs="Calibri"/>
          <w:noProof/>
          <w:lang w:val="en-US"/>
        </w:rPr>
        <w:t>. Executive Summar</w:t>
      </w:r>
      <w:r w:rsidR="00523039">
        <w:rPr>
          <w:rFonts w:ascii="Calibri" w:hAnsi="Calibri" w:cs="Calibri"/>
          <w:noProof/>
          <w:lang w:val="en-US"/>
        </w:rPr>
        <w:t>y. London: Department of Health.</w:t>
      </w:r>
      <w:r w:rsidRPr="00CE3D6F">
        <w:rPr>
          <w:rFonts w:ascii="Calibri" w:hAnsi="Calibri" w:cs="Calibri"/>
          <w:noProof/>
          <w:lang w:val="en-US"/>
        </w:rPr>
        <w:t xml:space="preserve"> 2004.</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27.</w:t>
      </w:r>
      <w:r w:rsidRPr="00CE3D6F">
        <w:rPr>
          <w:rFonts w:ascii="Calibri" w:hAnsi="Calibri" w:cs="Calibri"/>
          <w:noProof/>
          <w:lang w:val="en-US"/>
        </w:rPr>
        <w:tab/>
        <w:t>Health Protection Agency.</w:t>
      </w:r>
      <w:r w:rsidRPr="00473C12">
        <w:rPr>
          <w:rFonts w:ascii="Calibri" w:hAnsi="Calibri" w:cs="Calibri"/>
          <w:i/>
          <w:noProof/>
          <w:lang w:val="en-US"/>
        </w:rPr>
        <w:t xml:space="preserve"> HIV in the United Kingdom. 2008 Report</w:t>
      </w:r>
      <w:r w:rsidRPr="00CE3D6F">
        <w:rPr>
          <w:rFonts w:ascii="Calibri" w:hAnsi="Calibri" w:cs="Calibri"/>
          <w:noProof/>
          <w:lang w:val="en-US"/>
        </w:rPr>
        <w:t>. Lo</w:t>
      </w:r>
      <w:r w:rsidR="00473C12">
        <w:rPr>
          <w:rFonts w:ascii="Calibri" w:hAnsi="Calibri" w:cs="Calibri"/>
          <w:noProof/>
          <w:lang w:val="en-US"/>
        </w:rPr>
        <w:t xml:space="preserve">ndon: Health Protection Agency. </w:t>
      </w:r>
      <w:r w:rsidRPr="00CE3D6F">
        <w:rPr>
          <w:rFonts w:ascii="Calibri" w:hAnsi="Calibri" w:cs="Calibri"/>
          <w:noProof/>
          <w:lang w:val="en-US"/>
        </w:rPr>
        <w:t>2008.</w:t>
      </w:r>
    </w:p>
    <w:p w:rsidR="00473C12" w:rsidRDefault="00CE3D6F" w:rsidP="00CE3D6F">
      <w:pPr>
        <w:spacing w:after="0" w:line="240" w:lineRule="auto"/>
        <w:rPr>
          <w:rFonts w:ascii="Calibri" w:hAnsi="Calibri" w:cs="Calibri"/>
          <w:noProof/>
          <w:lang w:val="en-US"/>
        </w:rPr>
      </w:pPr>
      <w:r w:rsidRPr="00CE3D6F">
        <w:rPr>
          <w:rFonts w:ascii="Calibri" w:hAnsi="Calibri" w:cs="Calibri"/>
          <w:noProof/>
          <w:lang w:val="en-US"/>
        </w:rPr>
        <w:t>28.</w:t>
      </w:r>
      <w:r w:rsidRPr="00CE3D6F">
        <w:rPr>
          <w:rFonts w:ascii="Calibri" w:hAnsi="Calibri" w:cs="Calibri"/>
          <w:noProof/>
          <w:lang w:val="en-US"/>
        </w:rPr>
        <w:tab/>
        <w:t>G</w:t>
      </w:r>
      <w:r w:rsidR="00473C12" w:rsidRPr="00473C12">
        <w:rPr>
          <w:rFonts w:ascii="Calibri" w:hAnsi="Calibri" w:cs="Calibri"/>
          <w:noProof/>
          <w:lang w:val="en-US"/>
        </w:rPr>
        <w:t xml:space="preserve">ott, M, Hinchliff, S. Barriers to seeking treatment for sexual problems in primary care: a qualitative study with older people. </w:t>
      </w:r>
      <w:r w:rsidR="00473C12" w:rsidRPr="00473C12">
        <w:rPr>
          <w:rFonts w:ascii="Calibri" w:hAnsi="Calibri" w:cs="Calibri"/>
          <w:i/>
          <w:noProof/>
          <w:lang w:val="en-US"/>
        </w:rPr>
        <w:t>Fam Pract</w:t>
      </w:r>
      <w:r w:rsidR="00473C12">
        <w:rPr>
          <w:rFonts w:ascii="Calibri" w:hAnsi="Calibri" w:cs="Calibri"/>
          <w:noProof/>
          <w:lang w:val="en-US"/>
        </w:rPr>
        <w:t xml:space="preserve">. </w:t>
      </w:r>
      <w:r w:rsidR="00473C12" w:rsidRPr="00473C12">
        <w:rPr>
          <w:rFonts w:ascii="Calibri" w:hAnsi="Calibri" w:cs="Calibri"/>
          <w:noProof/>
          <w:lang w:val="en-US"/>
        </w:rPr>
        <w:t>2003; 20: 690–695</w:t>
      </w:r>
      <w:r w:rsidRPr="00CE3D6F">
        <w:rPr>
          <w:rFonts w:ascii="Calibri" w:hAnsi="Calibri" w:cs="Calibri"/>
          <w:noProof/>
          <w:lang w:val="en-US"/>
        </w:rPr>
        <w:t>29.</w:t>
      </w:r>
      <w:r w:rsidRPr="00CE3D6F">
        <w:rPr>
          <w:rFonts w:ascii="Calibri" w:hAnsi="Calibri" w:cs="Calibri"/>
          <w:noProof/>
          <w:lang w:val="en-US"/>
        </w:rPr>
        <w:tab/>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30.</w:t>
      </w:r>
      <w:r w:rsidRPr="00CE3D6F">
        <w:rPr>
          <w:rFonts w:ascii="Calibri" w:hAnsi="Calibri" w:cs="Calibri"/>
          <w:noProof/>
          <w:lang w:val="en-US"/>
        </w:rPr>
        <w:tab/>
        <w:t xml:space="preserve">Select Committee on HIV and AIDS in the United Kingdom. </w:t>
      </w:r>
      <w:r w:rsidRPr="00473C12">
        <w:rPr>
          <w:rFonts w:ascii="Calibri" w:hAnsi="Calibri" w:cs="Calibri"/>
          <w:i/>
          <w:noProof/>
          <w:lang w:val="en-US"/>
        </w:rPr>
        <w:t>No vaccine, no cure: HIV and AIDS in the United Kingdom - Select Committee on HIV and AIDs in the United Kingdom</w:t>
      </w:r>
      <w:r w:rsidRPr="00CE3D6F">
        <w:rPr>
          <w:rFonts w:ascii="Calibri" w:hAnsi="Calibri" w:cs="Calibri"/>
          <w:noProof/>
          <w:lang w:val="en-US"/>
        </w:rPr>
        <w:t>. London: The Stationery Office Limited, 2011.</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31.</w:t>
      </w:r>
      <w:r w:rsidRPr="00CE3D6F">
        <w:rPr>
          <w:rFonts w:ascii="Calibri" w:hAnsi="Calibri" w:cs="Calibri"/>
          <w:noProof/>
          <w:lang w:val="en-US"/>
        </w:rPr>
        <w:tab/>
      </w:r>
      <w:r w:rsidR="00E24A66" w:rsidRPr="00E24A66">
        <w:rPr>
          <w:rFonts w:ascii="Calibri" w:hAnsi="Calibri" w:cs="Calibri"/>
          <w:noProof/>
          <w:lang w:val="en-US"/>
        </w:rPr>
        <w:t xml:space="preserve">HIV Prevention England. </w:t>
      </w:r>
      <w:r w:rsidR="00E24A66" w:rsidRPr="00E24A66">
        <w:rPr>
          <w:rFonts w:ascii="Calibri" w:hAnsi="Calibri" w:cs="Calibri"/>
          <w:i/>
          <w:noProof/>
          <w:lang w:val="en-US"/>
        </w:rPr>
        <w:t>National HIV testing week</w:t>
      </w:r>
      <w:r w:rsidR="00E24A66" w:rsidRPr="00E24A66">
        <w:rPr>
          <w:rFonts w:ascii="Calibri" w:hAnsi="Calibri" w:cs="Calibri"/>
          <w:noProof/>
          <w:lang w:val="en-US"/>
        </w:rPr>
        <w:t>. Terrence Higgins Trust: London, https://www.hivpreventionengland.org.uk/campaigns/national-hiv-testing-week (2018, accessed 16 August 2018).</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32.</w:t>
      </w:r>
      <w:r w:rsidRPr="00CE3D6F">
        <w:rPr>
          <w:rFonts w:ascii="Calibri" w:hAnsi="Calibri" w:cs="Calibri"/>
          <w:noProof/>
          <w:lang w:val="en-US"/>
        </w:rPr>
        <w:tab/>
      </w:r>
      <w:r w:rsidR="004B251B" w:rsidRPr="004B251B">
        <w:rPr>
          <w:rFonts w:ascii="Calibri" w:hAnsi="Calibri" w:cs="Calibri"/>
          <w:noProof/>
          <w:lang w:val="en-US"/>
        </w:rPr>
        <w:t xml:space="preserve">CHAPS Partnership. </w:t>
      </w:r>
      <w:r w:rsidR="004B251B" w:rsidRPr="004B251B">
        <w:rPr>
          <w:rFonts w:ascii="Calibri" w:hAnsi="Calibri" w:cs="Calibri"/>
          <w:i/>
          <w:noProof/>
          <w:lang w:val="en-US"/>
        </w:rPr>
        <w:t>Making it Count 4: a collaborative planning framework to minimise the incidence of HIV infection during sex between men</w:t>
      </w:r>
      <w:r w:rsidR="004B251B">
        <w:rPr>
          <w:rFonts w:ascii="Calibri" w:hAnsi="Calibri" w:cs="Calibri"/>
          <w:noProof/>
          <w:lang w:val="en-US"/>
        </w:rPr>
        <w:t xml:space="preserve">. </w:t>
      </w:r>
      <w:r w:rsidR="004B251B" w:rsidRPr="004B251B">
        <w:rPr>
          <w:rFonts w:ascii="Calibri" w:hAnsi="Calibri" w:cs="Calibri"/>
          <w:noProof/>
          <w:lang w:val="en-US"/>
        </w:rPr>
        <w:t>4th edition. London, Sigma Research</w:t>
      </w:r>
      <w:r w:rsidR="004B251B">
        <w:rPr>
          <w:rFonts w:ascii="Calibri" w:hAnsi="Calibri" w:cs="Calibri"/>
          <w:noProof/>
          <w:lang w:val="en-US"/>
        </w:rPr>
        <w:t xml:space="preserve">. </w:t>
      </w:r>
      <w:r w:rsidR="004B251B" w:rsidRPr="004B251B">
        <w:rPr>
          <w:rFonts w:ascii="Calibri" w:hAnsi="Calibri" w:cs="Calibri"/>
          <w:noProof/>
          <w:lang w:val="en-US"/>
        </w:rPr>
        <w:t>2011</w:t>
      </w:r>
    </w:p>
    <w:p w:rsidR="004B251B" w:rsidRDefault="00CE3D6F" w:rsidP="00CE3D6F">
      <w:pPr>
        <w:spacing w:after="0" w:line="240" w:lineRule="auto"/>
        <w:rPr>
          <w:rFonts w:ascii="Calibri" w:hAnsi="Calibri" w:cs="Calibri"/>
          <w:noProof/>
          <w:lang w:val="en-US"/>
        </w:rPr>
      </w:pPr>
      <w:r w:rsidRPr="00CE3D6F">
        <w:rPr>
          <w:rFonts w:ascii="Calibri" w:hAnsi="Calibri" w:cs="Calibri"/>
          <w:noProof/>
          <w:lang w:val="en-US"/>
        </w:rPr>
        <w:t>33.</w:t>
      </w:r>
      <w:r w:rsidRPr="00CE3D6F">
        <w:rPr>
          <w:rFonts w:ascii="Calibri" w:hAnsi="Calibri" w:cs="Calibri"/>
          <w:noProof/>
          <w:lang w:val="en-US"/>
        </w:rPr>
        <w:tab/>
      </w:r>
      <w:r w:rsidR="004B251B">
        <w:rPr>
          <w:rFonts w:ascii="Calibri" w:hAnsi="Calibri" w:cs="Calibri"/>
          <w:noProof/>
          <w:lang w:val="en-US"/>
        </w:rPr>
        <w:t>Mercer, CH, Tanton, C, Prah, P et al.</w:t>
      </w:r>
      <w:r w:rsidR="004B251B" w:rsidRPr="004B251B">
        <w:rPr>
          <w:rFonts w:ascii="Calibri" w:hAnsi="Calibri" w:cs="Calibri"/>
          <w:noProof/>
          <w:lang w:val="en-US"/>
        </w:rPr>
        <w:t xml:space="preserve"> Changes in sexual attitudes and lifestyles in Britain through the life course and over time: findings from the National Surveys of Sexual Attitudes and Lifestyles (Natsal). </w:t>
      </w:r>
      <w:r w:rsidR="004B251B" w:rsidRPr="004B251B">
        <w:rPr>
          <w:rFonts w:ascii="Calibri" w:hAnsi="Calibri" w:cs="Calibri"/>
          <w:i/>
          <w:noProof/>
          <w:lang w:val="en-US"/>
        </w:rPr>
        <w:t>Lancet</w:t>
      </w:r>
      <w:r w:rsidR="004B251B">
        <w:rPr>
          <w:rFonts w:ascii="Calibri" w:hAnsi="Calibri" w:cs="Calibri"/>
          <w:i/>
          <w:noProof/>
          <w:lang w:val="en-US"/>
        </w:rPr>
        <w:t xml:space="preserve">. </w:t>
      </w:r>
      <w:r w:rsidR="004B251B" w:rsidRPr="004B251B">
        <w:rPr>
          <w:rFonts w:ascii="Calibri" w:hAnsi="Calibri" w:cs="Calibri"/>
          <w:noProof/>
          <w:lang w:val="en-US"/>
        </w:rPr>
        <w:t xml:space="preserve">2013; 382: 1781–1794. </w:t>
      </w:r>
      <w:r w:rsidRPr="00CE3D6F">
        <w:rPr>
          <w:rFonts w:ascii="Calibri" w:hAnsi="Calibri" w:cs="Calibri"/>
          <w:noProof/>
          <w:lang w:val="en-US"/>
        </w:rPr>
        <w:t>34.</w:t>
      </w:r>
      <w:r w:rsidRPr="00CE3D6F">
        <w:rPr>
          <w:rFonts w:ascii="Calibri" w:hAnsi="Calibri" w:cs="Calibri"/>
          <w:noProof/>
          <w:lang w:val="en-US"/>
        </w:rPr>
        <w:tab/>
      </w:r>
    </w:p>
    <w:p w:rsidR="00CE3D6F" w:rsidRPr="00CE3D6F" w:rsidRDefault="004B251B" w:rsidP="00CE3D6F">
      <w:pPr>
        <w:spacing w:after="0" w:line="240" w:lineRule="auto"/>
        <w:rPr>
          <w:rFonts w:ascii="Calibri" w:hAnsi="Calibri" w:cs="Calibri"/>
          <w:noProof/>
          <w:lang w:val="en-US"/>
        </w:rPr>
      </w:pPr>
      <w:r>
        <w:rPr>
          <w:rFonts w:ascii="Calibri" w:hAnsi="Calibri" w:cs="Calibri"/>
          <w:noProof/>
          <w:lang w:val="en-US"/>
        </w:rPr>
        <w:t xml:space="preserve">34. </w:t>
      </w:r>
      <w:r w:rsidR="00CE3D6F" w:rsidRPr="00CE3D6F">
        <w:rPr>
          <w:rFonts w:ascii="Calibri" w:hAnsi="Calibri" w:cs="Calibri"/>
          <w:noProof/>
          <w:lang w:val="en-US"/>
        </w:rPr>
        <w:t xml:space="preserve">National Treatment Agency for Substance Misuse. </w:t>
      </w:r>
      <w:r w:rsidR="00CE3D6F" w:rsidRPr="004B251B">
        <w:rPr>
          <w:rFonts w:ascii="Calibri" w:hAnsi="Calibri" w:cs="Calibri"/>
          <w:i/>
          <w:noProof/>
          <w:lang w:val="en-US"/>
        </w:rPr>
        <w:t>Injecting drug use in England: a declining trend</w:t>
      </w:r>
      <w:r w:rsidR="00CE3D6F" w:rsidRPr="00CE3D6F">
        <w:rPr>
          <w:rFonts w:ascii="Calibri" w:hAnsi="Calibri" w:cs="Calibri"/>
          <w:noProof/>
          <w:lang w:val="en-US"/>
        </w:rPr>
        <w:t>. London: National Treatment Agency for Substance Misuse. 2013.</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35.</w:t>
      </w:r>
      <w:r w:rsidRPr="00CE3D6F">
        <w:rPr>
          <w:rFonts w:ascii="Calibri" w:hAnsi="Calibri" w:cs="Calibri"/>
          <w:noProof/>
          <w:lang w:val="en-US"/>
        </w:rPr>
        <w:tab/>
      </w:r>
      <w:r w:rsidR="004B251B" w:rsidRPr="004B251B">
        <w:rPr>
          <w:rFonts w:ascii="Calibri" w:hAnsi="Calibri" w:cs="Calibri"/>
          <w:noProof/>
          <w:lang w:val="en-US"/>
        </w:rPr>
        <w:t xml:space="preserve">Jones, M. Undiagnosed HIV in women attending a sexual health clinic for non-barrier methods of contraception. Two case studies. </w:t>
      </w:r>
      <w:r w:rsidR="004B251B" w:rsidRPr="004B251B">
        <w:rPr>
          <w:rFonts w:ascii="Calibri" w:hAnsi="Calibri" w:cs="Calibri"/>
          <w:i/>
          <w:noProof/>
          <w:lang w:val="en-US"/>
        </w:rPr>
        <w:t>J Fam Plann Reprod Health Care</w:t>
      </w:r>
      <w:r w:rsidR="004B251B">
        <w:rPr>
          <w:rFonts w:ascii="Calibri" w:hAnsi="Calibri" w:cs="Calibri"/>
          <w:noProof/>
          <w:lang w:val="en-US"/>
        </w:rPr>
        <w:t xml:space="preserve">. </w:t>
      </w:r>
      <w:r w:rsidR="004B251B" w:rsidRPr="004B251B">
        <w:rPr>
          <w:rFonts w:ascii="Calibri" w:hAnsi="Calibri" w:cs="Calibri"/>
          <w:noProof/>
          <w:lang w:val="en-US"/>
        </w:rPr>
        <w:t>2003; 29: 31–32</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36.</w:t>
      </w:r>
      <w:r w:rsidRPr="00CE3D6F">
        <w:rPr>
          <w:rFonts w:ascii="Calibri" w:hAnsi="Calibri" w:cs="Calibri"/>
          <w:noProof/>
          <w:lang w:val="en-US"/>
        </w:rPr>
        <w:tab/>
      </w:r>
      <w:r w:rsidR="004B251B" w:rsidRPr="004B251B">
        <w:rPr>
          <w:rFonts w:ascii="Calibri" w:hAnsi="Calibri" w:cs="Calibri"/>
          <w:noProof/>
          <w:lang w:val="en-US"/>
        </w:rPr>
        <w:t xml:space="preserve">Schroder, KE, Carey, MP, Vanable, PA. Methodological challenges in research on sexual risk behavior: II. Accuracy of self-reports. </w:t>
      </w:r>
      <w:r w:rsidR="004B251B" w:rsidRPr="004B251B">
        <w:rPr>
          <w:rFonts w:ascii="Calibri" w:hAnsi="Calibri" w:cs="Calibri"/>
          <w:i/>
          <w:noProof/>
          <w:lang w:val="en-US"/>
        </w:rPr>
        <w:t>Ann Behav Med</w:t>
      </w:r>
      <w:r w:rsidR="004B251B">
        <w:rPr>
          <w:rFonts w:ascii="Calibri" w:hAnsi="Calibri" w:cs="Calibri"/>
          <w:noProof/>
          <w:lang w:val="en-US"/>
        </w:rPr>
        <w:t>. 2</w:t>
      </w:r>
      <w:r w:rsidR="004B251B" w:rsidRPr="004B251B">
        <w:rPr>
          <w:rFonts w:ascii="Calibri" w:hAnsi="Calibri" w:cs="Calibri"/>
          <w:noProof/>
          <w:lang w:val="en-US"/>
        </w:rPr>
        <w:t>003; 26: 104–123.</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t>37.</w:t>
      </w:r>
      <w:r w:rsidRPr="00CE3D6F">
        <w:rPr>
          <w:rFonts w:ascii="Calibri" w:hAnsi="Calibri" w:cs="Calibri"/>
          <w:noProof/>
          <w:lang w:val="en-US"/>
        </w:rPr>
        <w:tab/>
        <w:t xml:space="preserve">Bland M. </w:t>
      </w:r>
      <w:r w:rsidRPr="004B251B">
        <w:rPr>
          <w:rFonts w:ascii="Calibri" w:hAnsi="Calibri" w:cs="Calibri"/>
          <w:i/>
          <w:noProof/>
          <w:lang w:val="en-US"/>
        </w:rPr>
        <w:t>An Introduction to Medical Statistics</w:t>
      </w:r>
      <w:r w:rsidRPr="00CE3D6F">
        <w:rPr>
          <w:rFonts w:ascii="Calibri" w:hAnsi="Calibri" w:cs="Calibri"/>
          <w:noProof/>
          <w:lang w:val="en-US"/>
        </w:rPr>
        <w:t>. 3rd Edition ed. Oxford: Oxford University Press</w:t>
      </w:r>
      <w:r w:rsidR="004B251B">
        <w:rPr>
          <w:rFonts w:ascii="Calibri" w:hAnsi="Calibri" w:cs="Calibri"/>
          <w:noProof/>
          <w:lang w:val="en-US"/>
        </w:rPr>
        <w:t>.</w:t>
      </w:r>
      <w:r w:rsidRPr="00CE3D6F">
        <w:rPr>
          <w:rFonts w:ascii="Calibri" w:hAnsi="Calibri" w:cs="Calibri"/>
          <w:noProof/>
          <w:lang w:val="en-US"/>
        </w:rPr>
        <w:t xml:space="preserve"> 2000.</w:t>
      </w:r>
    </w:p>
    <w:p w:rsidR="00CE3D6F" w:rsidRPr="00CE3D6F" w:rsidRDefault="00CE3D6F" w:rsidP="00CE3D6F">
      <w:pPr>
        <w:spacing w:after="0" w:line="240" w:lineRule="auto"/>
        <w:rPr>
          <w:rFonts w:ascii="Calibri" w:hAnsi="Calibri" w:cs="Calibri"/>
          <w:noProof/>
          <w:lang w:val="en-US"/>
        </w:rPr>
      </w:pPr>
      <w:r w:rsidRPr="00CE3D6F">
        <w:rPr>
          <w:rFonts w:ascii="Calibri" w:hAnsi="Calibri" w:cs="Calibri"/>
          <w:noProof/>
          <w:lang w:val="en-US"/>
        </w:rPr>
        <w:fldChar w:fldCharType="end"/>
      </w:r>
    </w:p>
    <w:p w:rsidR="00CE3D6F" w:rsidRPr="00CE3D6F" w:rsidRDefault="00CE3D6F" w:rsidP="00CE3D6F">
      <w:pPr>
        <w:spacing w:line="360" w:lineRule="auto"/>
      </w:pPr>
    </w:p>
    <w:p w:rsidR="00CE3D6F" w:rsidRPr="00130F83" w:rsidRDefault="00CE3D6F" w:rsidP="00CE3D6F">
      <w:pPr>
        <w:spacing w:line="360" w:lineRule="auto"/>
      </w:pPr>
    </w:p>
    <w:p w:rsidR="00CE3D6F" w:rsidRDefault="00CE3D6F" w:rsidP="00CE3D6F">
      <w:pPr>
        <w:spacing w:line="360" w:lineRule="auto"/>
      </w:pPr>
    </w:p>
    <w:sectPr w:rsidR="00CE3D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6F" w:rsidRDefault="00CE3D6F" w:rsidP="00CE3D6F">
      <w:pPr>
        <w:spacing w:after="0" w:line="240" w:lineRule="auto"/>
      </w:pPr>
      <w:r>
        <w:separator/>
      </w:r>
    </w:p>
  </w:endnote>
  <w:endnote w:type="continuationSeparator" w:id="0">
    <w:p w:rsidR="00CE3D6F" w:rsidRDefault="00CE3D6F" w:rsidP="00CE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70173"/>
      <w:docPartObj>
        <w:docPartGallery w:val="Page Numbers (Bottom of Page)"/>
        <w:docPartUnique/>
      </w:docPartObj>
    </w:sdtPr>
    <w:sdtContent>
      <w:sdt>
        <w:sdtPr>
          <w:id w:val="1728636285"/>
          <w:docPartObj>
            <w:docPartGallery w:val="Page Numbers (Top of Page)"/>
            <w:docPartUnique/>
          </w:docPartObj>
        </w:sdtPr>
        <w:sdtContent>
          <w:p w:rsidR="00601713" w:rsidRDefault="006017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70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702C">
              <w:rPr>
                <w:b/>
                <w:bCs/>
                <w:noProof/>
              </w:rPr>
              <w:t>17</w:t>
            </w:r>
            <w:r>
              <w:rPr>
                <w:b/>
                <w:bCs/>
                <w:sz w:val="24"/>
                <w:szCs w:val="24"/>
              </w:rPr>
              <w:fldChar w:fldCharType="end"/>
            </w:r>
          </w:p>
        </w:sdtContent>
      </w:sdt>
    </w:sdtContent>
  </w:sdt>
  <w:p w:rsidR="00601713" w:rsidRDefault="0060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6F" w:rsidRDefault="00CE3D6F" w:rsidP="00CE3D6F">
      <w:pPr>
        <w:spacing w:after="0" w:line="240" w:lineRule="auto"/>
      </w:pPr>
      <w:r>
        <w:separator/>
      </w:r>
    </w:p>
  </w:footnote>
  <w:footnote w:type="continuationSeparator" w:id="0">
    <w:p w:rsidR="00CE3D6F" w:rsidRDefault="00CE3D6F" w:rsidP="00CE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Pr="00CE3D6F" w:rsidRDefault="00CE3D6F" w:rsidP="00CE3D6F">
    <w:pPr>
      <w:pStyle w:val="Header"/>
      <w:jc w:val="center"/>
      <w:rPr>
        <w:u w:val="single"/>
      </w:rPr>
    </w:pPr>
    <w:r w:rsidRPr="00CE3D6F">
      <w:rPr>
        <w:u w:val="single"/>
      </w:rPr>
      <w:t>HIV testing amongst older sexual health clinic attendees in England: an epidemiological study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Default="00CE3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Pr="009937E5" w:rsidRDefault="00CE3D6F" w:rsidP="00CE3D6F">
    <w:pPr>
      <w:keepNext/>
      <w:keepLines/>
      <w:tabs>
        <w:tab w:val="left" w:pos="4934"/>
      </w:tabs>
      <w:spacing w:before="240" w:after="0"/>
      <w:jc w:val="center"/>
      <w:outlineLvl w:val="0"/>
      <w:rPr>
        <w:rFonts w:eastAsiaTheme="majorEastAsia" w:cstheme="majorBidi"/>
        <w:szCs w:val="32"/>
        <w:u w:val="single"/>
      </w:rPr>
    </w:pPr>
    <w:r w:rsidRPr="009937E5">
      <w:rPr>
        <w:rFonts w:eastAsiaTheme="majorEastAsia" w:cstheme="majorBidi"/>
        <w:szCs w:val="32"/>
        <w:u w:val="single"/>
      </w:rPr>
      <w:t>HIV testing amongst older sexual health clinic attendees in England: an epidemiological study</w:t>
    </w:r>
  </w:p>
  <w:p w:rsidR="00CE3D6F" w:rsidRDefault="00CE3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Default="00CE3D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Default="00CE3D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Pr="009937E5" w:rsidRDefault="00CE3D6F" w:rsidP="00CE3D6F">
    <w:pPr>
      <w:keepNext/>
      <w:keepLines/>
      <w:tabs>
        <w:tab w:val="left" w:pos="4934"/>
      </w:tabs>
      <w:spacing w:before="240" w:after="0"/>
      <w:jc w:val="center"/>
      <w:outlineLvl w:val="0"/>
      <w:rPr>
        <w:rFonts w:eastAsiaTheme="majorEastAsia" w:cstheme="majorBidi"/>
        <w:szCs w:val="32"/>
        <w:u w:val="single"/>
      </w:rPr>
    </w:pPr>
    <w:r w:rsidRPr="009937E5">
      <w:rPr>
        <w:rFonts w:eastAsiaTheme="majorEastAsia" w:cstheme="majorBidi"/>
        <w:szCs w:val="32"/>
        <w:u w:val="single"/>
      </w:rPr>
      <w:t>HIV testing amongst older sexual health clinic attendees in England: an epidemiological study</w:t>
    </w:r>
  </w:p>
  <w:p w:rsidR="00CE3D6F" w:rsidRDefault="00CE3D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6F" w:rsidRDefault="00CE3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24E"/>
    <w:multiLevelType w:val="hybridMultilevel"/>
    <w:tmpl w:val="87F67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25CBB"/>
    <w:multiLevelType w:val="hybridMultilevel"/>
    <w:tmpl w:val="94145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6F"/>
    <w:rsid w:val="001D77F3"/>
    <w:rsid w:val="002641CE"/>
    <w:rsid w:val="00333504"/>
    <w:rsid w:val="00334FB5"/>
    <w:rsid w:val="00473C12"/>
    <w:rsid w:val="004B251B"/>
    <w:rsid w:val="00523039"/>
    <w:rsid w:val="00601713"/>
    <w:rsid w:val="0080702C"/>
    <w:rsid w:val="00861FF3"/>
    <w:rsid w:val="008A3042"/>
    <w:rsid w:val="008D7C20"/>
    <w:rsid w:val="00A54B9D"/>
    <w:rsid w:val="00AA6788"/>
    <w:rsid w:val="00B40276"/>
    <w:rsid w:val="00BD65A0"/>
    <w:rsid w:val="00C63B7B"/>
    <w:rsid w:val="00CC4DA0"/>
    <w:rsid w:val="00CE3D6F"/>
    <w:rsid w:val="00DE69B9"/>
    <w:rsid w:val="00E13ECA"/>
    <w:rsid w:val="00E24A66"/>
    <w:rsid w:val="00F4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A15E"/>
  <w15:chartTrackingRefBased/>
  <w15:docId w15:val="{CCE79FB1-CCF1-423D-BAFC-A228098C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D6F"/>
    <w:pPr>
      <w:ind w:left="720"/>
      <w:contextualSpacing/>
    </w:pPr>
  </w:style>
  <w:style w:type="paragraph" w:styleId="Header">
    <w:name w:val="header"/>
    <w:basedOn w:val="Normal"/>
    <w:link w:val="HeaderChar"/>
    <w:uiPriority w:val="99"/>
    <w:unhideWhenUsed/>
    <w:rsid w:val="00CE3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D6F"/>
  </w:style>
  <w:style w:type="paragraph" w:styleId="Footer">
    <w:name w:val="footer"/>
    <w:basedOn w:val="Normal"/>
    <w:link w:val="FooterChar"/>
    <w:uiPriority w:val="99"/>
    <w:unhideWhenUsed/>
    <w:rsid w:val="00CE3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D6F"/>
  </w:style>
  <w:style w:type="table" w:styleId="PlainTable2">
    <w:name w:val="Plain Table 2"/>
    <w:basedOn w:val="TableNormal"/>
    <w:uiPriority w:val="42"/>
    <w:rsid w:val="00CE3D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82133">
      <w:bodyDiv w:val="1"/>
      <w:marLeft w:val="0"/>
      <w:marRight w:val="0"/>
      <w:marTop w:val="0"/>
      <w:marBottom w:val="0"/>
      <w:divBdr>
        <w:top w:val="none" w:sz="0" w:space="0" w:color="auto"/>
        <w:left w:val="none" w:sz="0" w:space="0" w:color="auto"/>
        <w:bottom w:val="none" w:sz="0" w:space="0" w:color="auto"/>
        <w:right w:val="none" w:sz="0" w:space="0" w:color="auto"/>
      </w:divBdr>
      <w:divsChild>
        <w:div w:id="2057316818">
          <w:marLeft w:val="0"/>
          <w:marRight w:val="0"/>
          <w:marTop w:val="100"/>
          <w:marBottom w:val="100"/>
          <w:divBdr>
            <w:top w:val="none" w:sz="0" w:space="0" w:color="auto"/>
            <w:left w:val="none" w:sz="0" w:space="0" w:color="auto"/>
            <w:bottom w:val="none" w:sz="0" w:space="0" w:color="auto"/>
            <w:right w:val="none" w:sz="0" w:space="0" w:color="auto"/>
          </w:divBdr>
          <w:divsChild>
            <w:div w:id="960264407">
              <w:marLeft w:val="0"/>
              <w:marRight w:val="0"/>
              <w:marTop w:val="0"/>
              <w:marBottom w:val="0"/>
              <w:divBdr>
                <w:top w:val="none" w:sz="0" w:space="0" w:color="auto"/>
                <w:left w:val="none" w:sz="0" w:space="0" w:color="auto"/>
                <w:bottom w:val="none" w:sz="0" w:space="0" w:color="auto"/>
                <w:right w:val="none" w:sz="0" w:space="0" w:color="auto"/>
              </w:divBdr>
              <w:divsChild>
                <w:div w:id="107699595">
                  <w:marLeft w:val="105"/>
                  <w:marRight w:val="105"/>
                  <w:marTop w:val="105"/>
                  <w:marBottom w:val="105"/>
                  <w:divBdr>
                    <w:top w:val="none" w:sz="0" w:space="0" w:color="auto"/>
                    <w:left w:val="none" w:sz="0" w:space="0" w:color="auto"/>
                    <w:bottom w:val="none" w:sz="0" w:space="0" w:color="auto"/>
                    <w:right w:val="none" w:sz="0" w:space="0" w:color="auto"/>
                  </w:divBdr>
                  <w:divsChild>
                    <w:div w:id="1336497231">
                      <w:marLeft w:val="0"/>
                      <w:marRight w:val="0"/>
                      <w:marTop w:val="0"/>
                      <w:marBottom w:val="0"/>
                      <w:divBdr>
                        <w:top w:val="none" w:sz="0" w:space="0" w:color="auto"/>
                        <w:left w:val="none" w:sz="0" w:space="0" w:color="auto"/>
                        <w:bottom w:val="none" w:sz="0" w:space="0" w:color="auto"/>
                        <w:right w:val="none" w:sz="0" w:space="0" w:color="auto"/>
                      </w:divBdr>
                      <w:divsChild>
                        <w:div w:id="996424600">
                          <w:marLeft w:val="0"/>
                          <w:marRight w:val="0"/>
                          <w:marTop w:val="0"/>
                          <w:marBottom w:val="0"/>
                          <w:divBdr>
                            <w:top w:val="none" w:sz="0" w:space="0" w:color="auto"/>
                            <w:left w:val="none" w:sz="0" w:space="0" w:color="auto"/>
                            <w:bottom w:val="none" w:sz="0" w:space="0" w:color="auto"/>
                            <w:right w:val="none" w:sz="0" w:space="0" w:color="auto"/>
                          </w:divBdr>
                          <w:divsChild>
                            <w:div w:id="383532481">
                              <w:marLeft w:val="105"/>
                              <w:marRight w:val="105"/>
                              <w:marTop w:val="105"/>
                              <w:marBottom w:val="105"/>
                              <w:divBdr>
                                <w:top w:val="none" w:sz="0" w:space="0" w:color="auto"/>
                                <w:left w:val="none" w:sz="0" w:space="0" w:color="auto"/>
                                <w:bottom w:val="none" w:sz="0" w:space="0" w:color="auto"/>
                                <w:right w:val="none" w:sz="0" w:space="0" w:color="auto"/>
                              </w:divBdr>
                              <w:divsChild>
                                <w:div w:id="274989694">
                                  <w:marLeft w:val="0"/>
                                  <w:marRight w:val="0"/>
                                  <w:marTop w:val="0"/>
                                  <w:marBottom w:val="0"/>
                                  <w:divBdr>
                                    <w:top w:val="none" w:sz="0" w:space="0" w:color="auto"/>
                                    <w:left w:val="none" w:sz="0" w:space="0" w:color="auto"/>
                                    <w:bottom w:val="none" w:sz="0" w:space="0" w:color="auto"/>
                                    <w:right w:val="none" w:sz="0" w:space="0" w:color="auto"/>
                                  </w:divBdr>
                                  <w:divsChild>
                                    <w:div w:id="713194145">
                                      <w:marLeft w:val="0"/>
                                      <w:marRight w:val="0"/>
                                      <w:marTop w:val="0"/>
                                      <w:marBottom w:val="0"/>
                                      <w:divBdr>
                                        <w:top w:val="none" w:sz="0" w:space="0" w:color="auto"/>
                                        <w:left w:val="none" w:sz="0" w:space="0" w:color="auto"/>
                                        <w:bottom w:val="none" w:sz="0" w:space="0" w:color="auto"/>
                                        <w:right w:val="none" w:sz="0" w:space="0" w:color="auto"/>
                                      </w:divBdr>
                                      <w:divsChild>
                                        <w:div w:id="2033452854">
                                          <w:marLeft w:val="0"/>
                                          <w:marRight w:val="0"/>
                                          <w:marTop w:val="0"/>
                                          <w:marBottom w:val="0"/>
                                          <w:divBdr>
                                            <w:top w:val="none" w:sz="0" w:space="0" w:color="auto"/>
                                            <w:left w:val="none" w:sz="0" w:space="0" w:color="auto"/>
                                            <w:bottom w:val="none" w:sz="0" w:space="0" w:color="auto"/>
                                            <w:right w:val="none" w:sz="0" w:space="0" w:color="auto"/>
                                          </w:divBdr>
                                          <w:divsChild>
                                            <w:div w:id="1408111360">
                                              <w:marLeft w:val="0"/>
                                              <w:marRight w:val="0"/>
                                              <w:marTop w:val="0"/>
                                              <w:marBottom w:val="0"/>
                                              <w:divBdr>
                                                <w:top w:val="none" w:sz="0" w:space="0" w:color="auto"/>
                                                <w:left w:val="none" w:sz="0" w:space="0" w:color="auto"/>
                                                <w:bottom w:val="none" w:sz="0" w:space="0" w:color="auto"/>
                                                <w:right w:val="none" w:sz="0" w:space="0" w:color="auto"/>
                                              </w:divBdr>
                                              <w:divsChild>
                                                <w:div w:id="845437620">
                                                  <w:marLeft w:val="105"/>
                                                  <w:marRight w:val="105"/>
                                                  <w:marTop w:val="105"/>
                                                  <w:marBottom w:val="105"/>
                                                  <w:divBdr>
                                                    <w:top w:val="none" w:sz="0" w:space="0" w:color="auto"/>
                                                    <w:left w:val="none" w:sz="0" w:space="0" w:color="auto"/>
                                                    <w:bottom w:val="none" w:sz="0" w:space="0" w:color="auto"/>
                                                    <w:right w:val="none" w:sz="0" w:space="0" w:color="auto"/>
                                                  </w:divBdr>
                                                  <w:divsChild>
                                                    <w:div w:id="783964221">
                                                      <w:marLeft w:val="0"/>
                                                      <w:marRight w:val="0"/>
                                                      <w:marTop w:val="0"/>
                                                      <w:marBottom w:val="0"/>
                                                      <w:divBdr>
                                                        <w:top w:val="none" w:sz="0" w:space="0" w:color="auto"/>
                                                        <w:left w:val="none" w:sz="0" w:space="0" w:color="auto"/>
                                                        <w:bottom w:val="none" w:sz="0" w:space="0" w:color="auto"/>
                                                        <w:right w:val="none" w:sz="0" w:space="0" w:color="auto"/>
                                                      </w:divBdr>
                                                      <w:divsChild>
                                                        <w:div w:id="1085227667">
                                                          <w:marLeft w:val="0"/>
                                                          <w:marRight w:val="0"/>
                                                          <w:marTop w:val="0"/>
                                                          <w:marBottom w:val="0"/>
                                                          <w:divBdr>
                                                            <w:top w:val="none" w:sz="0" w:space="0" w:color="auto"/>
                                                            <w:left w:val="none" w:sz="0" w:space="0" w:color="auto"/>
                                                            <w:bottom w:val="none" w:sz="0" w:space="0" w:color="auto"/>
                                                            <w:right w:val="none" w:sz="0" w:space="0" w:color="auto"/>
                                                          </w:divBdr>
                                                          <w:divsChild>
                                                            <w:div w:id="66849187">
                                                              <w:marLeft w:val="0"/>
                                                              <w:marRight w:val="0"/>
                                                              <w:marTop w:val="0"/>
                                                              <w:marBottom w:val="0"/>
                                                              <w:divBdr>
                                                                <w:top w:val="none" w:sz="0" w:space="0" w:color="auto"/>
                                                                <w:left w:val="none" w:sz="0" w:space="0" w:color="auto"/>
                                                                <w:bottom w:val="none" w:sz="0" w:space="0" w:color="auto"/>
                                                                <w:right w:val="none" w:sz="0" w:space="0" w:color="auto"/>
                                                              </w:divBdr>
                                                              <w:divsChild>
                                                                <w:div w:id="958335454">
                                                                  <w:marLeft w:val="0"/>
                                                                  <w:marRight w:val="0"/>
                                                                  <w:marTop w:val="0"/>
                                                                  <w:marBottom w:val="0"/>
                                                                  <w:divBdr>
                                                                    <w:top w:val="none" w:sz="0" w:space="0" w:color="auto"/>
                                                                    <w:left w:val="none" w:sz="0" w:space="0" w:color="auto"/>
                                                                    <w:bottom w:val="none" w:sz="0" w:space="0" w:color="auto"/>
                                                                    <w:right w:val="none" w:sz="0" w:space="0" w:color="auto"/>
                                                                  </w:divBdr>
                                                                  <w:divsChild>
                                                                    <w:div w:id="2134597283">
                                                                      <w:marLeft w:val="0"/>
                                                                      <w:marRight w:val="0"/>
                                                                      <w:marTop w:val="0"/>
                                                                      <w:marBottom w:val="0"/>
                                                                      <w:divBdr>
                                                                        <w:top w:val="none" w:sz="0" w:space="0" w:color="auto"/>
                                                                        <w:left w:val="none" w:sz="0" w:space="0" w:color="auto"/>
                                                                        <w:bottom w:val="none" w:sz="0" w:space="0" w:color="auto"/>
                                                                        <w:right w:val="none" w:sz="0" w:space="0" w:color="auto"/>
                                                                      </w:divBdr>
                                                                      <w:divsChild>
                                                                        <w:div w:id="2043096077">
                                                                          <w:marLeft w:val="105"/>
                                                                          <w:marRight w:val="105"/>
                                                                          <w:marTop w:val="105"/>
                                                                          <w:marBottom w:val="105"/>
                                                                          <w:divBdr>
                                                                            <w:top w:val="none" w:sz="0" w:space="0" w:color="auto"/>
                                                                            <w:left w:val="none" w:sz="0" w:space="0" w:color="auto"/>
                                                                            <w:bottom w:val="none" w:sz="0" w:space="0" w:color="auto"/>
                                                                            <w:right w:val="none" w:sz="0" w:space="0" w:color="auto"/>
                                                                          </w:divBdr>
                                                                          <w:divsChild>
                                                                            <w:div w:id="1806577784">
                                                                              <w:marLeft w:val="0"/>
                                                                              <w:marRight w:val="0"/>
                                                                              <w:marTop w:val="0"/>
                                                                              <w:marBottom w:val="0"/>
                                                                              <w:divBdr>
                                                                                <w:top w:val="none" w:sz="0" w:space="0" w:color="auto"/>
                                                                                <w:left w:val="none" w:sz="0" w:space="0" w:color="auto"/>
                                                                                <w:bottom w:val="none" w:sz="0" w:space="0" w:color="auto"/>
                                                                                <w:right w:val="none" w:sz="0" w:space="0" w:color="auto"/>
                                                                              </w:divBdr>
                                                                              <w:divsChild>
                                                                                <w:div w:id="2028098151">
                                                                                  <w:marLeft w:val="0"/>
                                                                                  <w:marRight w:val="0"/>
                                                                                  <w:marTop w:val="0"/>
                                                                                  <w:marBottom w:val="0"/>
                                                                                  <w:divBdr>
                                                                                    <w:top w:val="none" w:sz="0" w:space="0" w:color="auto"/>
                                                                                    <w:left w:val="none" w:sz="0" w:space="0" w:color="auto"/>
                                                                                    <w:bottom w:val="none" w:sz="0" w:space="0" w:color="auto"/>
                                                                                    <w:right w:val="none" w:sz="0" w:space="0" w:color="auto"/>
                                                                                  </w:divBdr>
                                                                                  <w:divsChild>
                                                                                    <w:div w:id="21515976">
                                                                                      <w:marLeft w:val="0"/>
                                                                                      <w:marRight w:val="0"/>
                                                                                      <w:marTop w:val="0"/>
                                                                                      <w:marBottom w:val="0"/>
                                                                                      <w:divBdr>
                                                                                        <w:top w:val="none" w:sz="0" w:space="0" w:color="auto"/>
                                                                                        <w:left w:val="none" w:sz="0" w:space="0" w:color="auto"/>
                                                                                        <w:bottom w:val="none" w:sz="0" w:space="0" w:color="auto"/>
                                                                                        <w:right w:val="none" w:sz="0" w:space="0" w:color="auto"/>
                                                                                      </w:divBdr>
                                                                                      <w:divsChild>
                                                                                        <w:div w:id="666247264">
                                                                                          <w:marLeft w:val="0"/>
                                                                                          <w:marRight w:val="0"/>
                                                                                          <w:marTop w:val="0"/>
                                                                                          <w:marBottom w:val="0"/>
                                                                                          <w:divBdr>
                                                                                            <w:top w:val="none" w:sz="0" w:space="0" w:color="auto"/>
                                                                                            <w:left w:val="none" w:sz="0" w:space="0" w:color="auto"/>
                                                                                            <w:bottom w:val="none" w:sz="0" w:space="0" w:color="auto"/>
                                                                                            <w:right w:val="none" w:sz="0" w:space="0" w:color="auto"/>
                                                                                          </w:divBdr>
                                                                                          <w:divsChild>
                                                                                            <w:div w:id="454174907">
                                                                                              <w:marLeft w:val="0"/>
                                                                                              <w:marRight w:val="0"/>
                                                                                              <w:marTop w:val="0"/>
                                                                                              <w:marBottom w:val="0"/>
                                                                                              <w:divBdr>
                                                                                                <w:top w:val="none" w:sz="0" w:space="0" w:color="auto"/>
                                                                                                <w:left w:val="none" w:sz="0" w:space="0" w:color="auto"/>
                                                                                                <w:bottom w:val="none" w:sz="0" w:space="0" w:color="auto"/>
                                                                                                <w:right w:val="none" w:sz="0" w:space="0" w:color="auto"/>
                                                                                              </w:divBdr>
                                                                                              <w:divsChild>
                                                                                                <w:div w:id="1192918309">
                                                                                                  <w:marLeft w:val="0"/>
                                                                                                  <w:marRight w:val="0"/>
                                                                                                  <w:marTop w:val="0"/>
                                                                                                  <w:marBottom w:val="0"/>
                                                                                                  <w:divBdr>
                                                                                                    <w:top w:val="none" w:sz="0" w:space="0" w:color="auto"/>
                                                                                                    <w:left w:val="none" w:sz="0" w:space="0" w:color="auto"/>
                                                                                                    <w:bottom w:val="none" w:sz="0" w:space="0" w:color="auto"/>
                                                                                                    <w:right w:val="none" w:sz="0" w:space="0" w:color="auto"/>
                                                                                                  </w:divBdr>
                                                                                                  <w:divsChild>
                                                                                                    <w:div w:id="1426461455">
                                                                                                      <w:marLeft w:val="105"/>
                                                                                                      <w:marRight w:val="105"/>
                                                                                                      <w:marTop w:val="105"/>
                                                                                                      <w:marBottom w:val="105"/>
                                                                                                      <w:divBdr>
                                                                                                        <w:top w:val="none" w:sz="0" w:space="0" w:color="auto"/>
                                                                                                        <w:left w:val="none" w:sz="0" w:space="0" w:color="auto"/>
                                                                                                        <w:bottom w:val="none" w:sz="0" w:space="0" w:color="auto"/>
                                                                                                        <w:right w:val="none" w:sz="0" w:space="0" w:color="auto"/>
                                                                                                      </w:divBdr>
                                                                                                      <w:divsChild>
                                                                                                        <w:div w:id="346954025">
                                                                                                          <w:marLeft w:val="0"/>
                                                                                                          <w:marRight w:val="0"/>
                                                                                                          <w:marTop w:val="0"/>
                                                                                                          <w:marBottom w:val="0"/>
                                                                                                          <w:divBdr>
                                                                                                            <w:top w:val="none" w:sz="0" w:space="0" w:color="auto"/>
                                                                                                            <w:left w:val="none" w:sz="0" w:space="0" w:color="auto"/>
                                                                                                            <w:bottom w:val="none" w:sz="0" w:space="0" w:color="auto"/>
                                                                                                            <w:right w:val="none" w:sz="0" w:space="0" w:color="auto"/>
                                                                                                          </w:divBdr>
                                                                                                          <w:divsChild>
                                                                                                            <w:div w:id="2046902400">
                                                                                                              <w:marLeft w:val="0"/>
                                                                                                              <w:marRight w:val="0"/>
                                                                                                              <w:marTop w:val="0"/>
                                                                                                              <w:marBottom w:val="0"/>
                                                                                                              <w:divBdr>
                                                                                                                <w:top w:val="none" w:sz="0" w:space="0" w:color="auto"/>
                                                                                                                <w:left w:val="none" w:sz="0" w:space="0" w:color="auto"/>
                                                                                                                <w:bottom w:val="none" w:sz="0" w:space="0" w:color="auto"/>
                                                                                                                <w:right w:val="none" w:sz="0" w:space="0" w:color="auto"/>
                                                                                                              </w:divBdr>
                                                                                                              <w:divsChild>
                                                                                                                <w:div w:id="1731920639">
                                                                                                                  <w:marLeft w:val="0"/>
                                                                                                                  <w:marRight w:val="0"/>
                                                                                                                  <w:marTop w:val="0"/>
                                                                                                                  <w:marBottom w:val="0"/>
                                                                                                                  <w:divBdr>
                                                                                                                    <w:top w:val="none" w:sz="0" w:space="0" w:color="auto"/>
                                                                                                                    <w:left w:val="none" w:sz="0" w:space="0" w:color="auto"/>
                                                                                                                    <w:bottom w:val="none" w:sz="0" w:space="0" w:color="auto"/>
                                                                                                                    <w:right w:val="none" w:sz="0" w:space="0" w:color="auto"/>
                                                                                                                  </w:divBdr>
                                                                                                                  <w:divsChild>
                                                                                                                    <w:div w:id="1144274647">
                                                                                                                      <w:marLeft w:val="0"/>
                                                                                                                      <w:marRight w:val="0"/>
                                                                                                                      <w:marTop w:val="0"/>
                                                                                                                      <w:marBottom w:val="0"/>
                                                                                                                      <w:divBdr>
                                                                                                                        <w:top w:val="none" w:sz="0" w:space="0" w:color="auto"/>
                                                                                                                        <w:left w:val="none" w:sz="0" w:space="0" w:color="auto"/>
                                                                                                                        <w:bottom w:val="none" w:sz="0" w:space="0" w:color="auto"/>
                                                                                                                        <w:right w:val="none" w:sz="0" w:space="0" w:color="auto"/>
                                                                                                                      </w:divBdr>
                                                                                                                      <w:divsChild>
                                                                                                                        <w:div w:id="1233589932">
                                                                                                                          <w:marLeft w:val="0"/>
                                                                                                                          <w:marRight w:val="0"/>
                                                                                                                          <w:marTop w:val="0"/>
                                                                                                                          <w:marBottom w:val="0"/>
                                                                                                                          <w:divBdr>
                                                                                                                            <w:top w:val="none" w:sz="0" w:space="0" w:color="auto"/>
                                                                                                                            <w:left w:val="none" w:sz="0" w:space="0" w:color="auto"/>
                                                                                                                            <w:bottom w:val="none" w:sz="0" w:space="0" w:color="auto"/>
                                                                                                                            <w:right w:val="none" w:sz="0" w:space="0" w:color="auto"/>
                                                                                                                          </w:divBdr>
                                                                                                                          <w:divsChild>
                                                                                                                            <w:div w:id="818183475">
                                                                                                                              <w:marLeft w:val="0"/>
                                                                                                                              <w:marRight w:val="0"/>
                                                                                                                              <w:marTop w:val="0"/>
                                                                                                                              <w:marBottom w:val="0"/>
                                                                                                                              <w:divBdr>
                                                                                                                                <w:top w:val="none" w:sz="0" w:space="0" w:color="auto"/>
                                                                                                                                <w:left w:val="none" w:sz="0" w:space="0" w:color="auto"/>
                                                                                                                                <w:bottom w:val="none" w:sz="0" w:space="0" w:color="auto"/>
                                                                                                                                <w:right w:val="none" w:sz="0" w:space="0" w:color="auto"/>
                                                                                                                              </w:divBdr>
                                                                                                                              <w:divsChild>
                                                                                                                                <w:div w:id="820924628">
                                                                                                                                  <w:marLeft w:val="0"/>
                                                                                                                                  <w:marRight w:val="0"/>
                                                                                                                                  <w:marTop w:val="0"/>
                                                                                                                                  <w:marBottom w:val="0"/>
                                                                                                                                  <w:divBdr>
                                                                                                                                    <w:top w:val="none" w:sz="0" w:space="0" w:color="auto"/>
                                                                                                                                    <w:left w:val="none" w:sz="0" w:space="0" w:color="auto"/>
                                                                                                                                    <w:bottom w:val="none" w:sz="0" w:space="0" w:color="auto"/>
                                                                                                                                    <w:right w:val="none" w:sz="0" w:space="0" w:color="auto"/>
                                                                                                                                  </w:divBdr>
                                                                                                                                  <w:divsChild>
                                                                                                                                    <w:div w:id="2047754066">
                                                                                                                                      <w:marLeft w:val="0"/>
                                                                                                                                      <w:marRight w:val="0"/>
                                                                                                                                      <w:marTop w:val="0"/>
                                                                                                                                      <w:marBottom w:val="0"/>
                                                                                                                                      <w:divBdr>
                                                                                                                                        <w:top w:val="none" w:sz="0" w:space="0" w:color="auto"/>
                                                                                                                                        <w:left w:val="none" w:sz="0" w:space="0" w:color="auto"/>
                                                                                                                                        <w:bottom w:val="none" w:sz="0" w:space="0" w:color="auto"/>
                                                                                                                                        <w:right w:val="none" w:sz="0" w:space="0" w:color="auto"/>
                                                                                                                                      </w:divBdr>
                                                                                                                                      <w:divsChild>
                                                                                                                                        <w:div w:id="2138375465">
                                                                                                                                          <w:marLeft w:val="0"/>
                                                                                                                                          <w:marRight w:val="0"/>
                                                                                                                                          <w:marTop w:val="0"/>
                                                                                                                                          <w:marBottom w:val="0"/>
                                                                                                                                          <w:divBdr>
                                                                                                                                            <w:top w:val="none" w:sz="0" w:space="0" w:color="auto"/>
                                                                                                                                            <w:left w:val="none" w:sz="0" w:space="0" w:color="auto"/>
                                                                                                                                            <w:bottom w:val="none" w:sz="0" w:space="0" w:color="auto"/>
                                                                                                                                            <w:right w:val="none" w:sz="0" w:space="0" w:color="auto"/>
                                                                                                                                          </w:divBdr>
                                                                                                                                          <w:divsChild>
                                                                                                                                            <w:div w:id="395711693">
                                                                                                                                              <w:marLeft w:val="0"/>
                                                                                                                                              <w:marRight w:val="0"/>
                                                                                                                                              <w:marTop w:val="0"/>
                                                                                                                                              <w:marBottom w:val="0"/>
                                                                                                                                              <w:divBdr>
                                                                                                                                                <w:top w:val="none" w:sz="0" w:space="0" w:color="auto"/>
                                                                                                                                                <w:left w:val="none" w:sz="0" w:space="0" w:color="auto"/>
                                                                                                                                                <w:bottom w:val="none" w:sz="0" w:space="0" w:color="auto"/>
                                                                                                                                                <w:right w:val="none" w:sz="0" w:space="0" w:color="auto"/>
                                                                                                                                              </w:divBdr>
                                                                                                                                              <w:divsChild>
                                                                                                                                                <w:div w:id="1473214956">
                                                                                                                                                  <w:marLeft w:val="0"/>
                                                                                                                                                  <w:marRight w:val="0"/>
                                                                                                                                                  <w:marTop w:val="0"/>
                                                                                                                                                  <w:marBottom w:val="0"/>
                                                                                                                                                  <w:divBdr>
                                                                                                                                                    <w:top w:val="none" w:sz="0" w:space="0" w:color="auto"/>
                                                                                                                                                    <w:left w:val="none" w:sz="0" w:space="0" w:color="auto"/>
                                                                                                                                                    <w:bottom w:val="none" w:sz="0" w:space="0" w:color="auto"/>
                                                                                                                                                    <w:right w:val="none" w:sz="0" w:space="0" w:color="auto"/>
                                                                                                                                                  </w:divBdr>
                                                                                                                                                </w:div>
                                                                                                                                                <w:div w:id="18483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617">
                                                                                                                                      <w:marLeft w:val="0"/>
                                                                                                                                      <w:marRight w:val="0"/>
                                                                                                                                      <w:marTop w:val="0"/>
                                                                                                                                      <w:marBottom w:val="0"/>
                                                                                                                                      <w:divBdr>
                                                                                                                                        <w:top w:val="none" w:sz="0" w:space="0" w:color="auto"/>
                                                                                                                                        <w:left w:val="none" w:sz="0" w:space="0" w:color="auto"/>
                                                                                                                                        <w:bottom w:val="none" w:sz="0" w:space="0" w:color="auto"/>
                                                                                                                                        <w:right w:val="none" w:sz="0" w:space="0" w:color="auto"/>
                                                                                                                                      </w:divBdr>
                                                                                                                                    </w:div>
                                                                                                                                  </w:divsChild>
                                                                                                                                </w:div>
                                                                                                                                <w:div w:id="1805007099">
                                                                                                                                  <w:marLeft w:val="0"/>
                                                                                                                                  <w:marRight w:val="0"/>
                                                                                                                                  <w:marTop w:val="0"/>
                                                                                                                                  <w:marBottom w:val="150"/>
                                                                                                                                  <w:divBdr>
                                                                                                                                    <w:top w:val="none" w:sz="0" w:space="0" w:color="auto"/>
                                                                                                                                    <w:left w:val="none" w:sz="0" w:space="0" w:color="auto"/>
                                                                                                                                    <w:bottom w:val="single" w:sz="6" w:space="0" w:color="CCCCCC"/>
                                                                                                                                    <w:right w:val="none" w:sz="0" w:space="0" w:color="auto"/>
                                                                                                                                  </w:divBdr>
                                                                                                                                  <w:divsChild>
                                                                                                                                    <w:div w:id="47919227">
                                                                                                                                      <w:marLeft w:val="300"/>
                                                                                                                                      <w:marRight w:val="0"/>
                                                                                                                                      <w:marTop w:val="0"/>
                                                                                                                                      <w:marBottom w:val="450"/>
                                                                                                                                      <w:divBdr>
                                                                                                                                        <w:top w:val="none" w:sz="0" w:space="0" w:color="auto"/>
                                                                                                                                        <w:left w:val="none" w:sz="0" w:space="0" w:color="auto"/>
                                                                                                                                        <w:bottom w:val="none" w:sz="0" w:space="0" w:color="auto"/>
                                                                                                                                        <w:right w:val="none" w:sz="0" w:space="0" w:color="auto"/>
                                                                                                                                      </w:divBdr>
                                                                                                                                    </w:div>
                                                                                                                                  </w:divsChild>
                                                                                                                                </w:div>
                                                                                                                                <w:div w:id="568268923">
                                                                                                                                  <w:marLeft w:val="0"/>
                                                                                                                                  <w:marRight w:val="0"/>
                                                                                                                                  <w:marTop w:val="0"/>
                                                                                                                                  <w:marBottom w:val="0"/>
                                                                                                                                  <w:divBdr>
                                                                                                                                    <w:top w:val="none" w:sz="0" w:space="0" w:color="auto"/>
                                                                                                                                    <w:left w:val="none" w:sz="0" w:space="0" w:color="auto"/>
                                                                                                                                    <w:bottom w:val="none" w:sz="0" w:space="0" w:color="auto"/>
                                                                                                                                    <w:right w:val="none" w:sz="0" w:space="0" w:color="auto"/>
                                                                                                                                  </w:divBdr>
                                                                                                                                  <w:divsChild>
                                                                                                                                    <w:div w:id="246308235">
                                                                                                                                      <w:marLeft w:val="0"/>
                                                                                                                                      <w:marRight w:val="0"/>
                                                                                                                                      <w:marTop w:val="0"/>
                                                                                                                                      <w:marBottom w:val="0"/>
                                                                                                                                      <w:divBdr>
                                                                                                                                        <w:top w:val="none" w:sz="0" w:space="0" w:color="auto"/>
                                                                                                                                        <w:left w:val="none" w:sz="0" w:space="0" w:color="auto"/>
                                                                                                                                        <w:bottom w:val="none" w:sz="0" w:space="0" w:color="auto"/>
                                                                                                                                        <w:right w:val="none" w:sz="0" w:space="0" w:color="auto"/>
                                                                                                                                      </w:divBdr>
                                                                                                                                      <w:divsChild>
                                                                                                                                        <w:div w:id="1713773166">
                                                                                                                                          <w:marLeft w:val="0"/>
                                                                                                                                          <w:marRight w:val="0"/>
                                                                                                                                          <w:marTop w:val="0"/>
                                                                                                                                          <w:marBottom w:val="0"/>
                                                                                                                                          <w:divBdr>
                                                                                                                                            <w:top w:val="none" w:sz="0" w:space="0" w:color="auto"/>
                                                                                                                                            <w:left w:val="none" w:sz="0" w:space="0" w:color="auto"/>
                                                                                                                                            <w:bottom w:val="none" w:sz="0" w:space="0" w:color="auto"/>
                                                                                                                                            <w:right w:val="none" w:sz="0" w:space="0" w:color="auto"/>
                                                                                                                                          </w:divBdr>
                                                                                                                                          <w:divsChild>
                                                                                                                                            <w:div w:id="679434232">
                                                                                                                                              <w:marLeft w:val="0"/>
                                                                                                                                              <w:marRight w:val="0"/>
                                                                                                                                              <w:marTop w:val="0"/>
                                                                                                                                              <w:marBottom w:val="0"/>
                                                                                                                                              <w:divBdr>
                                                                                                                                                <w:top w:val="none" w:sz="0" w:space="0" w:color="auto"/>
                                                                                                                                                <w:left w:val="none" w:sz="0" w:space="0" w:color="auto"/>
                                                                                                                                                <w:bottom w:val="none" w:sz="0" w:space="0" w:color="auto"/>
                                                                                                                                                <w:right w:val="none" w:sz="0" w:space="0" w:color="auto"/>
                                                                                                                                              </w:divBdr>
                                                                                                                                              <w:divsChild>
                                                                                                                                                <w:div w:id="548228040">
                                                                                                                                                  <w:marLeft w:val="0"/>
                                                                                                                                                  <w:marRight w:val="0"/>
                                                                                                                                                  <w:marTop w:val="96"/>
                                                                                                                                                  <w:marBottom w:val="0"/>
                                                                                                                                                  <w:divBdr>
                                                                                                                                                    <w:top w:val="none" w:sz="0" w:space="0" w:color="auto"/>
                                                                                                                                                    <w:left w:val="none" w:sz="0" w:space="0" w:color="auto"/>
                                                                                                                                                    <w:bottom w:val="none" w:sz="0" w:space="0" w:color="auto"/>
                                                                                                                                                    <w:right w:val="none" w:sz="0" w:space="0" w:color="auto"/>
                                                                                                                                                  </w:divBdr>
                                                                                                                                                </w:div>
                                                                                                                                                <w:div w:id="1570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94358">
                                                                                                                                      <w:marLeft w:val="0"/>
                                                                                                                                      <w:marRight w:val="0"/>
                                                                                                                                      <w:marTop w:val="0"/>
                                                                                                                                      <w:marBottom w:val="0"/>
                                                                                                                                      <w:divBdr>
                                                                                                                                        <w:top w:val="none" w:sz="0" w:space="0" w:color="auto"/>
                                                                                                                                        <w:left w:val="none" w:sz="0" w:space="0" w:color="auto"/>
                                                                                                                                        <w:bottom w:val="none" w:sz="0" w:space="0" w:color="auto"/>
                                                                                                                                        <w:right w:val="none" w:sz="0" w:space="0" w:color="auto"/>
                                                                                                                                      </w:divBdr>
                                                                                                                                      <w:divsChild>
                                                                                                                                        <w:div w:id="860702644">
                                                                                                                                          <w:marLeft w:val="0"/>
                                                                                                                                          <w:marRight w:val="0"/>
                                                                                                                                          <w:marTop w:val="0"/>
                                                                                                                                          <w:marBottom w:val="0"/>
                                                                                                                                          <w:divBdr>
                                                                                                                                            <w:top w:val="none" w:sz="0" w:space="0" w:color="auto"/>
                                                                                                                                            <w:left w:val="none" w:sz="0" w:space="0" w:color="auto"/>
                                                                                                                                            <w:bottom w:val="none" w:sz="0" w:space="0" w:color="auto"/>
                                                                                                                                            <w:right w:val="none" w:sz="0" w:space="0" w:color="auto"/>
                                                                                                                                          </w:divBdr>
                                                                                                                                          <w:divsChild>
                                                                                                                                            <w:div w:id="366373510">
                                                                                                                                              <w:marLeft w:val="0"/>
                                                                                                                                              <w:marRight w:val="0"/>
                                                                                                                                              <w:marTop w:val="0"/>
                                                                                                                                              <w:marBottom w:val="0"/>
                                                                                                                                              <w:divBdr>
                                                                                                                                                <w:top w:val="none" w:sz="0" w:space="0" w:color="auto"/>
                                                                                                                                                <w:left w:val="none" w:sz="0" w:space="0" w:color="auto"/>
                                                                                                                                                <w:bottom w:val="none" w:sz="0" w:space="0" w:color="auto"/>
                                                                                                                                                <w:right w:val="none" w:sz="0" w:space="0" w:color="auto"/>
                                                                                                                                              </w:divBdr>
                                                                                                                                              <w:divsChild>
                                                                                                                                                <w:div w:id="984889751">
                                                                                                                                                  <w:marLeft w:val="0"/>
                                                                                                                                                  <w:marRight w:val="0"/>
                                                                                                                                                  <w:marTop w:val="96"/>
                                                                                                                                                  <w:marBottom w:val="0"/>
                                                                                                                                                  <w:divBdr>
                                                                                                                                                    <w:top w:val="none" w:sz="0" w:space="0" w:color="auto"/>
                                                                                                                                                    <w:left w:val="none" w:sz="0" w:space="0" w:color="auto"/>
                                                                                                                                                    <w:bottom w:val="none" w:sz="0" w:space="0" w:color="auto"/>
                                                                                                                                                    <w:right w:val="none" w:sz="0" w:space="0" w:color="auto"/>
                                                                                                                                                  </w:divBdr>
                                                                                                                                                </w:div>
                                                                                                                                                <w:div w:id="1734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1590">
                                                                                                                                      <w:marLeft w:val="0"/>
                                                                                                                                      <w:marRight w:val="0"/>
                                                                                                                                      <w:marTop w:val="0"/>
                                                                                                                                      <w:marBottom w:val="0"/>
                                                                                                                                      <w:divBdr>
                                                                                                                                        <w:top w:val="none" w:sz="0" w:space="0" w:color="auto"/>
                                                                                                                                        <w:left w:val="none" w:sz="0" w:space="0" w:color="auto"/>
                                                                                                                                        <w:bottom w:val="none" w:sz="0" w:space="0" w:color="auto"/>
                                                                                                                                        <w:right w:val="none" w:sz="0" w:space="0" w:color="auto"/>
                                                                                                                                      </w:divBdr>
                                                                                                                                      <w:divsChild>
                                                                                                                                        <w:div w:id="302387648">
                                                                                                                                          <w:marLeft w:val="0"/>
                                                                                                                                          <w:marRight w:val="0"/>
                                                                                                                                          <w:marTop w:val="0"/>
                                                                                                                                          <w:marBottom w:val="0"/>
                                                                                                                                          <w:divBdr>
                                                                                                                                            <w:top w:val="none" w:sz="0" w:space="0" w:color="auto"/>
                                                                                                                                            <w:left w:val="none" w:sz="0" w:space="0" w:color="auto"/>
                                                                                                                                            <w:bottom w:val="none" w:sz="0" w:space="0" w:color="auto"/>
                                                                                                                                            <w:right w:val="none" w:sz="0" w:space="0" w:color="auto"/>
                                                                                                                                          </w:divBdr>
                                                                                                                                          <w:divsChild>
                                                                                                                                            <w:div w:id="1137915304">
                                                                                                                                              <w:marLeft w:val="0"/>
                                                                                                                                              <w:marRight w:val="0"/>
                                                                                                                                              <w:marTop w:val="0"/>
                                                                                                                                              <w:marBottom w:val="0"/>
                                                                                                                                              <w:divBdr>
                                                                                                                                                <w:top w:val="none" w:sz="0" w:space="0" w:color="auto"/>
                                                                                                                                                <w:left w:val="none" w:sz="0" w:space="0" w:color="auto"/>
                                                                                                                                                <w:bottom w:val="none" w:sz="0" w:space="0" w:color="auto"/>
                                                                                                                                                <w:right w:val="none" w:sz="0" w:space="0" w:color="auto"/>
                                                                                                                                              </w:divBdr>
                                                                                                                                              <w:divsChild>
                                                                                                                                                <w:div w:id="1497763887">
                                                                                                                                                  <w:marLeft w:val="0"/>
                                                                                                                                                  <w:marRight w:val="0"/>
                                                                                                                                                  <w:marTop w:val="96"/>
                                                                                                                                                  <w:marBottom w:val="0"/>
                                                                                                                                                  <w:divBdr>
                                                                                                                                                    <w:top w:val="none" w:sz="0" w:space="0" w:color="auto"/>
                                                                                                                                                    <w:left w:val="none" w:sz="0" w:space="0" w:color="auto"/>
                                                                                                                                                    <w:bottom w:val="none" w:sz="0" w:space="0" w:color="auto"/>
                                                                                                                                                    <w:right w:val="none" w:sz="0" w:space="0" w:color="auto"/>
                                                                                                                                                  </w:divBdr>
                                                                                                                                                </w:div>
                                                                                                                                                <w:div w:id="18048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438">
                                                                                                                                          <w:marLeft w:val="0"/>
                                                                                                                                          <w:marRight w:val="0"/>
                                                                                                                                          <w:marTop w:val="0"/>
                                                                                                                                          <w:marBottom w:val="0"/>
                                                                                                                                          <w:divBdr>
                                                                                                                                            <w:top w:val="none" w:sz="0" w:space="0" w:color="auto"/>
                                                                                                                                            <w:left w:val="none" w:sz="0" w:space="0" w:color="auto"/>
                                                                                                                                            <w:bottom w:val="none" w:sz="0" w:space="0" w:color="auto"/>
                                                                                                                                            <w:right w:val="none" w:sz="0" w:space="0" w:color="auto"/>
                                                                                                                                          </w:divBdr>
                                                                                                                                          <w:divsChild>
                                                                                                                                            <w:div w:id="2067679683">
                                                                                                                                              <w:marLeft w:val="300"/>
                                                                                                                                              <w:marRight w:val="0"/>
                                                                                                                                              <w:marTop w:val="0"/>
                                                                                                                                              <w:marBottom w:val="0"/>
                                                                                                                                              <w:divBdr>
                                                                                                                                                <w:top w:val="none" w:sz="0" w:space="0" w:color="auto"/>
                                                                                                                                                <w:left w:val="none" w:sz="0" w:space="0" w:color="auto"/>
                                                                                                                                                <w:bottom w:val="none" w:sz="0" w:space="0" w:color="auto"/>
                                                                                                                                                <w:right w:val="none" w:sz="0" w:space="0" w:color="auto"/>
                                                                                                                                              </w:divBdr>
                                                                                                                                            </w:div>
                                                                                                                                            <w:div w:id="1603032021">
                                                                                                                                              <w:marLeft w:val="0"/>
                                                                                                                                              <w:marRight w:val="0"/>
                                                                                                                                              <w:marTop w:val="0"/>
                                                                                                                                              <w:marBottom w:val="0"/>
                                                                                                                                              <w:divBdr>
                                                                                                                                                <w:top w:val="none" w:sz="0" w:space="0" w:color="auto"/>
                                                                                                                                                <w:left w:val="none" w:sz="0" w:space="0" w:color="auto"/>
                                                                                                                                                <w:bottom w:val="none" w:sz="0" w:space="0" w:color="auto"/>
                                                                                                                                                <w:right w:val="none" w:sz="0" w:space="0" w:color="auto"/>
                                                                                                                                              </w:divBdr>
                                                                                                                                            </w:div>
                                                                                                                                            <w:div w:id="1093017413">
                                                                                                                                              <w:marLeft w:val="375"/>
                                                                                                                                              <w:marRight w:val="375"/>
                                                                                                                                              <w:marTop w:val="0"/>
                                                                                                                                              <w:marBottom w:val="0"/>
                                                                                                                                              <w:divBdr>
                                                                                                                                                <w:top w:val="single" w:sz="6" w:space="23" w:color="666666"/>
                                                                                                                                                <w:left w:val="single" w:sz="6" w:space="23" w:color="666666"/>
                                                                                                                                                <w:bottom w:val="single" w:sz="6" w:space="23" w:color="666666"/>
                                                                                                                                                <w:right w:val="single" w:sz="6" w:space="23" w:color="666666"/>
                                                                                                                                              </w:divBdr>
                                                                                                                                              <w:divsChild>
                                                                                                                                                <w:div w:id="56511404">
                                                                                                                                                  <w:marLeft w:val="0"/>
                                                                                                                                                  <w:marRight w:val="0"/>
                                                                                                                                                  <w:marTop w:val="0"/>
                                                                                                                                                  <w:marBottom w:val="0"/>
                                                                                                                                                  <w:divBdr>
                                                                                                                                                    <w:top w:val="none" w:sz="0" w:space="0" w:color="auto"/>
                                                                                                                                                    <w:left w:val="none" w:sz="0" w:space="0" w:color="auto"/>
                                                                                                                                                    <w:bottom w:val="none" w:sz="0" w:space="0" w:color="auto"/>
                                                                                                                                                    <w:right w:val="none" w:sz="0" w:space="0" w:color="auto"/>
                                                                                                                                                  </w:divBdr>
                                                                                                                                                  <w:divsChild>
                                                                                                                                                    <w:div w:id="169107666">
                                                                                                                                                      <w:marLeft w:val="0"/>
                                                                                                                                                      <w:marRight w:val="0"/>
                                                                                                                                                      <w:marTop w:val="0"/>
                                                                                                                                                      <w:marBottom w:val="0"/>
                                                                                                                                                      <w:divBdr>
                                                                                                                                                        <w:top w:val="none" w:sz="0" w:space="0" w:color="auto"/>
                                                                                                                                                        <w:left w:val="none" w:sz="0" w:space="0" w:color="auto"/>
                                                                                                                                                        <w:bottom w:val="none" w:sz="0" w:space="0" w:color="auto"/>
                                                                                                                                                        <w:right w:val="none" w:sz="0" w:space="0" w:color="auto"/>
                                                                                                                                                      </w:divBdr>
                                                                                                                                                    </w:div>
                                                                                                                                                  </w:divsChild>
                                                                                                                                                </w:div>
                                                                                                                                                <w:div w:id="83403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6833021">
                                                                                                                                          <w:marLeft w:val="0"/>
                                                                                                                                          <w:marRight w:val="0"/>
                                                                                                                                          <w:marTop w:val="0"/>
                                                                                                                                          <w:marBottom w:val="0"/>
                                                                                                                                          <w:divBdr>
                                                                                                                                            <w:top w:val="none" w:sz="0" w:space="0" w:color="auto"/>
                                                                                                                                            <w:left w:val="none" w:sz="0" w:space="0" w:color="auto"/>
                                                                                                                                            <w:bottom w:val="none" w:sz="0" w:space="0" w:color="auto"/>
                                                                                                                                            <w:right w:val="none" w:sz="0" w:space="0" w:color="auto"/>
                                                                                                                                          </w:divBdr>
                                                                                                                                          <w:divsChild>
                                                                                                                                            <w:div w:id="641619794">
                                                                                                                                              <w:marLeft w:val="300"/>
                                                                                                                                              <w:marRight w:val="0"/>
                                                                                                                                              <w:marTop w:val="0"/>
                                                                                                                                              <w:marBottom w:val="0"/>
                                                                                                                                              <w:divBdr>
                                                                                                                                                <w:top w:val="none" w:sz="0" w:space="0" w:color="auto"/>
                                                                                                                                                <w:left w:val="none" w:sz="0" w:space="0" w:color="auto"/>
                                                                                                                                                <w:bottom w:val="none" w:sz="0" w:space="0" w:color="auto"/>
                                                                                                                                                <w:right w:val="none" w:sz="0" w:space="0" w:color="auto"/>
                                                                                                                                              </w:divBdr>
                                                                                                                                            </w:div>
                                                                                                                                            <w:div w:id="2041590119">
                                                                                                                                              <w:marLeft w:val="300"/>
                                                                                                                                              <w:marRight w:val="0"/>
                                                                                                                                              <w:marTop w:val="0"/>
                                                                                                                                              <w:marBottom w:val="0"/>
                                                                                                                                              <w:divBdr>
                                                                                                                                                <w:top w:val="none" w:sz="0" w:space="0" w:color="auto"/>
                                                                                                                                                <w:left w:val="none" w:sz="0" w:space="0" w:color="auto"/>
                                                                                                                                                <w:bottom w:val="none" w:sz="0" w:space="0" w:color="auto"/>
                                                                                                                                                <w:right w:val="none" w:sz="0" w:space="0" w:color="auto"/>
                                                                                                                                              </w:divBdr>
                                                                                                                                              <w:divsChild>
                                                                                                                                                <w:div w:id="1721392187">
                                                                                                                                                  <w:marLeft w:val="0"/>
                                                                                                                                                  <w:marRight w:val="0"/>
                                                                                                                                                  <w:marTop w:val="0"/>
                                                                                                                                                  <w:marBottom w:val="0"/>
                                                                                                                                                  <w:divBdr>
                                                                                                                                                    <w:top w:val="none" w:sz="0" w:space="0" w:color="auto"/>
                                                                                                                                                    <w:left w:val="none" w:sz="0" w:space="0" w:color="auto"/>
                                                                                                                                                    <w:bottom w:val="none" w:sz="0" w:space="0" w:color="auto"/>
                                                                                                                                                    <w:right w:val="none" w:sz="0" w:space="0" w:color="auto"/>
                                                                                                                                                  </w:divBdr>
                                                                                                                                                  <w:divsChild>
                                                                                                                                                    <w:div w:id="366494087">
                                                                                                                                                      <w:marLeft w:val="0"/>
                                                                                                                                                      <w:marRight w:val="0"/>
                                                                                                                                                      <w:marTop w:val="0"/>
                                                                                                                                                      <w:marBottom w:val="0"/>
                                                                                                                                                      <w:divBdr>
                                                                                                                                                        <w:top w:val="none" w:sz="0" w:space="0" w:color="auto"/>
                                                                                                                                                        <w:left w:val="none" w:sz="0" w:space="0" w:color="auto"/>
                                                                                                                                                        <w:bottom w:val="none" w:sz="0" w:space="0" w:color="auto"/>
                                                                                                                                                        <w:right w:val="none" w:sz="0" w:space="0" w:color="auto"/>
                                                                                                                                                      </w:divBdr>
                                                                                                                                                      <w:divsChild>
                                                                                                                                                        <w:div w:id="66996911">
                                                                                                                                                          <w:marLeft w:val="150"/>
                                                                                                                                                          <w:marRight w:val="0"/>
                                                                                                                                                          <w:marTop w:val="0"/>
                                                                                                                                                          <w:marBottom w:val="0"/>
                                                                                                                                                          <w:divBdr>
                                                                                                                                                            <w:top w:val="none" w:sz="0" w:space="0" w:color="auto"/>
                                                                                                                                                            <w:left w:val="none" w:sz="0" w:space="0" w:color="auto"/>
                                                                                                                                                            <w:bottom w:val="none" w:sz="0" w:space="0" w:color="auto"/>
                                                                                                                                                            <w:right w:val="none" w:sz="0" w:space="0" w:color="auto"/>
                                                                                                                                                          </w:divBdr>
                                                                                                                                                        </w:div>
                                                                                                                                                        <w:div w:id="918831746">
                                                                                                                                                          <w:marLeft w:val="0"/>
                                                                                                                                                          <w:marRight w:val="0"/>
                                                                                                                                                          <w:marTop w:val="0"/>
                                                                                                                                                          <w:marBottom w:val="0"/>
                                                                                                                                                          <w:divBdr>
                                                                                                                                                            <w:top w:val="none" w:sz="0" w:space="0" w:color="auto"/>
                                                                                                                                                            <w:left w:val="none" w:sz="0" w:space="0" w:color="auto"/>
                                                                                                                                                            <w:bottom w:val="none" w:sz="0" w:space="0" w:color="auto"/>
                                                                                                                                                            <w:right w:val="none" w:sz="0" w:space="0" w:color="auto"/>
                                                                                                                                                          </w:divBdr>
                                                                                                                                                        </w:div>
                                                                                                                                                        <w:div w:id="161091259">
                                                                                                                                                          <w:marLeft w:val="0"/>
                                                                                                                                                          <w:marRight w:val="150"/>
                                                                                                                                                          <w:marTop w:val="0"/>
                                                                                                                                                          <w:marBottom w:val="0"/>
                                                                                                                                                          <w:divBdr>
                                                                                                                                                            <w:top w:val="none" w:sz="0" w:space="0" w:color="auto"/>
                                                                                                                                                            <w:left w:val="none" w:sz="0" w:space="0" w:color="auto"/>
                                                                                                                                                            <w:bottom w:val="none" w:sz="0" w:space="0" w:color="auto"/>
                                                                                                                                                            <w:right w:val="none" w:sz="0" w:space="0" w:color="auto"/>
                                                                                                                                                          </w:divBdr>
                                                                                                                                                        </w:div>
                                                                                                                                                      </w:divsChild>
                                                                                                                                                    </w:div>
                                                                                                                                                    <w:div w:id="1695181470">
                                                                                                                                                      <w:marLeft w:val="0"/>
                                                                                                                                                      <w:marRight w:val="0"/>
                                                                                                                                                      <w:marTop w:val="0"/>
                                                                                                                                                      <w:marBottom w:val="0"/>
                                                                                                                                                      <w:divBdr>
                                                                                                                                                        <w:top w:val="none" w:sz="0" w:space="0" w:color="auto"/>
                                                                                                                                                        <w:left w:val="none" w:sz="0" w:space="0" w:color="auto"/>
                                                                                                                                                        <w:bottom w:val="none" w:sz="0" w:space="0" w:color="auto"/>
                                                                                                                                                        <w:right w:val="none" w:sz="0" w:space="0" w:color="auto"/>
                                                                                                                                                      </w:divBdr>
                                                                                                                                                      <w:divsChild>
                                                                                                                                                        <w:div w:id="19000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922">
                                                                                                                                              <w:marLeft w:val="0"/>
                                                                                                                                              <w:marRight w:val="0"/>
                                                                                                                                              <w:marTop w:val="0"/>
                                                                                                                                              <w:marBottom w:val="0"/>
                                                                                                                                              <w:divBdr>
                                                                                                                                                <w:top w:val="none" w:sz="0" w:space="0" w:color="auto"/>
                                                                                                                                                <w:left w:val="none" w:sz="0" w:space="0" w:color="auto"/>
                                                                                                                                                <w:bottom w:val="none" w:sz="0" w:space="0" w:color="auto"/>
                                                                                                                                                <w:right w:val="none" w:sz="0" w:space="0" w:color="auto"/>
                                                                                                                                              </w:divBdr>
                                                                                                                                            </w:div>
                                                                                                                                            <w:div w:id="1672030230">
                                                                                                                                              <w:marLeft w:val="375"/>
                                                                                                                                              <w:marRight w:val="375"/>
                                                                                                                                              <w:marTop w:val="0"/>
                                                                                                                                              <w:marBottom w:val="0"/>
                                                                                                                                              <w:divBdr>
                                                                                                                                                <w:top w:val="single" w:sz="6" w:space="23" w:color="666666"/>
                                                                                                                                                <w:left w:val="single" w:sz="6" w:space="23" w:color="666666"/>
                                                                                                                                                <w:bottom w:val="single" w:sz="6" w:space="23" w:color="666666"/>
                                                                                                                                                <w:right w:val="single" w:sz="6" w:space="23" w:color="666666"/>
                                                                                                                                              </w:divBdr>
                                                                                                                                              <w:divsChild>
                                                                                                                                                <w:div w:id="1877428989">
                                                                                                                                                  <w:marLeft w:val="0"/>
                                                                                                                                                  <w:marRight w:val="0"/>
                                                                                                                                                  <w:marTop w:val="0"/>
                                                                                                                                                  <w:marBottom w:val="0"/>
                                                                                                                                                  <w:divBdr>
                                                                                                                                                    <w:top w:val="none" w:sz="0" w:space="0" w:color="auto"/>
                                                                                                                                                    <w:left w:val="none" w:sz="0" w:space="0" w:color="auto"/>
                                                                                                                                                    <w:bottom w:val="none" w:sz="0" w:space="0" w:color="auto"/>
                                                                                                                                                    <w:right w:val="none" w:sz="0" w:space="0" w:color="auto"/>
                                                                                                                                                  </w:divBdr>
                                                                                                                                                  <w:divsChild>
                                                                                                                                                    <w:div w:id="1899777873">
                                                                                                                                                      <w:marLeft w:val="0"/>
                                                                                                                                                      <w:marRight w:val="0"/>
                                                                                                                                                      <w:marTop w:val="0"/>
                                                                                                                                                      <w:marBottom w:val="0"/>
                                                                                                                                                      <w:divBdr>
                                                                                                                                                        <w:top w:val="none" w:sz="0" w:space="0" w:color="auto"/>
                                                                                                                                                        <w:left w:val="none" w:sz="0" w:space="0" w:color="auto"/>
                                                                                                                                                        <w:bottom w:val="none" w:sz="0" w:space="0" w:color="auto"/>
                                                                                                                                                        <w:right w:val="none" w:sz="0" w:space="0" w:color="auto"/>
                                                                                                                                                      </w:divBdr>
                                                                                                                                                    </w:div>
                                                                                                                                                  </w:divsChild>
                                                                                                                                                </w:div>
                                                                                                                                                <w:div w:id="1954971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8962920">
                                                                                                                                          <w:marLeft w:val="0"/>
                                                                                                                                          <w:marRight w:val="0"/>
                                                                                                                                          <w:marTop w:val="0"/>
                                                                                                                                          <w:marBottom w:val="0"/>
                                                                                                                                          <w:divBdr>
                                                                                                                                            <w:top w:val="none" w:sz="0" w:space="0" w:color="auto"/>
                                                                                                                                            <w:left w:val="none" w:sz="0" w:space="0" w:color="auto"/>
                                                                                                                                            <w:bottom w:val="none" w:sz="0" w:space="0" w:color="auto"/>
                                                                                                                                            <w:right w:val="none" w:sz="0" w:space="0" w:color="auto"/>
                                                                                                                                          </w:divBdr>
                                                                                                                                          <w:divsChild>
                                                                                                                                            <w:div w:id="1420635126">
                                                                                                                                              <w:marLeft w:val="300"/>
                                                                                                                                              <w:marRight w:val="0"/>
                                                                                                                                              <w:marTop w:val="0"/>
                                                                                                                                              <w:marBottom w:val="0"/>
                                                                                                                                              <w:divBdr>
                                                                                                                                                <w:top w:val="none" w:sz="0" w:space="0" w:color="auto"/>
                                                                                                                                                <w:left w:val="none" w:sz="0" w:space="0" w:color="auto"/>
                                                                                                                                                <w:bottom w:val="none" w:sz="0" w:space="0" w:color="auto"/>
                                                                                                                                                <w:right w:val="none" w:sz="0" w:space="0" w:color="auto"/>
                                                                                                                                              </w:divBdr>
                                                                                                                                            </w:div>
                                                                                                                                            <w:div w:id="400493046">
                                                                                                                                              <w:marLeft w:val="300"/>
                                                                                                                                              <w:marRight w:val="0"/>
                                                                                                                                              <w:marTop w:val="0"/>
                                                                                                                                              <w:marBottom w:val="0"/>
                                                                                                                                              <w:divBdr>
                                                                                                                                                <w:top w:val="none" w:sz="0" w:space="0" w:color="auto"/>
                                                                                                                                                <w:left w:val="none" w:sz="0" w:space="0" w:color="auto"/>
                                                                                                                                                <w:bottom w:val="none" w:sz="0" w:space="0" w:color="auto"/>
                                                                                                                                                <w:right w:val="none" w:sz="0" w:space="0" w:color="auto"/>
                                                                                                                                              </w:divBdr>
                                                                                                                                              <w:divsChild>
                                                                                                                                                <w:div w:id="1227839571">
                                                                                                                                                  <w:marLeft w:val="0"/>
                                                                                                                                                  <w:marRight w:val="0"/>
                                                                                                                                                  <w:marTop w:val="0"/>
                                                                                                                                                  <w:marBottom w:val="0"/>
                                                                                                                                                  <w:divBdr>
                                                                                                                                                    <w:top w:val="none" w:sz="0" w:space="0" w:color="auto"/>
                                                                                                                                                    <w:left w:val="none" w:sz="0" w:space="0" w:color="auto"/>
                                                                                                                                                    <w:bottom w:val="none" w:sz="0" w:space="0" w:color="auto"/>
                                                                                                                                                    <w:right w:val="none" w:sz="0" w:space="0" w:color="auto"/>
                                                                                                                                                  </w:divBdr>
                                                                                                                                                  <w:divsChild>
                                                                                                                                                    <w:div w:id="287781934">
                                                                                                                                                      <w:marLeft w:val="0"/>
                                                                                                                                                      <w:marRight w:val="0"/>
                                                                                                                                                      <w:marTop w:val="0"/>
                                                                                                                                                      <w:marBottom w:val="0"/>
                                                                                                                                                      <w:divBdr>
                                                                                                                                                        <w:top w:val="none" w:sz="0" w:space="0" w:color="auto"/>
                                                                                                                                                        <w:left w:val="none" w:sz="0" w:space="0" w:color="auto"/>
                                                                                                                                                        <w:bottom w:val="none" w:sz="0" w:space="0" w:color="auto"/>
                                                                                                                                                        <w:right w:val="none" w:sz="0" w:space="0" w:color="auto"/>
                                                                                                                                                      </w:divBdr>
                                                                                                                                                      <w:divsChild>
                                                                                                                                                        <w:div w:id="121582477">
                                                                                                                                                          <w:marLeft w:val="150"/>
                                                                                                                                                          <w:marRight w:val="0"/>
                                                                                                                                                          <w:marTop w:val="0"/>
                                                                                                                                                          <w:marBottom w:val="0"/>
                                                                                                                                                          <w:divBdr>
                                                                                                                                                            <w:top w:val="none" w:sz="0" w:space="0" w:color="auto"/>
                                                                                                                                                            <w:left w:val="none" w:sz="0" w:space="0" w:color="auto"/>
                                                                                                                                                            <w:bottom w:val="none" w:sz="0" w:space="0" w:color="auto"/>
                                                                                                                                                            <w:right w:val="none" w:sz="0" w:space="0" w:color="auto"/>
                                                                                                                                                          </w:divBdr>
                                                                                                                                                        </w:div>
                                                                                                                                                        <w:div w:id="772242288">
                                                                                                                                                          <w:marLeft w:val="0"/>
                                                                                                                                                          <w:marRight w:val="0"/>
                                                                                                                                                          <w:marTop w:val="0"/>
                                                                                                                                                          <w:marBottom w:val="0"/>
                                                                                                                                                          <w:divBdr>
                                                                                                                                                            <w:top w:val="none" w:sz="0" w:space="0" w:color="auto"/>
                                                                                                                                                            <w:left w:val="none" w:sz="0" w:space="0" w:color="auto"/>
                                                                                                                                                            <w:bottom w:val="none" w:sz="0" w:space="0" w:color="auto"/>
                                                                                                                                                            <w:right w:val="none" w:sz="0" w:space="0" w:color="auto"/>
                                                                                                                                                          </w:divBdr>
                                                                                                                                                        </w:div>
                                                                                                                                                        <w:div w:id="448666152">
                                                                                                                                                          <w:marLeft w:val="0"/>
                                                                                                                                                          <w:marRight w:val="150"/>
                                                                                                                                                          <w:marTop w:val="0"/>
                                                                                                                                                          <w:marBottom w:val="0"/>
                                                                                                                                                          <w:divBdr>
                                                                                                                                                            <w:top w:val="none" w:sz="0" w:space="0" w:color="auto"/>
                                                                                                                                                            <w:left w:val="none" w:sz="0" w:space="0" w:color="auto"/>
                                                                                                                                                            <w:bottom w:val="none" w:sz="0" w:space="0" w:color="auto"/>
                                                                                                                                                            <w:right w:val="none" w:sz="0" w:space="0" w:color="auto"/>
                                                                                                                                                          </w:divBdr>
                                                                                                                                                        </w:div>
                                                                                                                                                      </w:divsChild>
                                                                                                                                                    </w:div>
                                                                                                                                                    <w:div w:id="1840538873">
                                                                                                                                                      <w:marLeft w:val="0"/>
                                                                                                                                                      <w:marRight w:val="0"/>
                                                                                                                                                      <w:marTop w:val="0"/>
                                                                                                                                                      <w:marBottom w:val="0"/>
                                                                                                                                                      <w:divBdr>
                                                                                                                                                        <w:top w:val="none" w:sz="0" w:space="0" w:color="auto"/>
                                                                                                                                                        <w:left w:val="none" w:sz="0" w:space="0" w:color="auto"/>
                                                                                                                                                        <w:bottom w:val="none" w:sz="0" w:space="0" w:color="auto"/>
                                                                                                                                                        <w:right w:val="none" w:sz="0" w:space="0" w:color="auto"/>
                                                                                                                                                      </w:divBdr>
                                                                                                                                                      <w:divsChild>
                                                                                                                                                        <w:div w:id="13973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0659">
                                                                                                                                          <w:marLeft w:val="0"/>
                                                                                                                                          <w:marRight w:val="0"/>
                                                                                                                                          <w:marTop w:val="0"/>
                                                                                                                                          <w:marBottom w:val="0"/>
                                                                                                                                          <w:divBdr>
                                                                                                                                            <w:top w:val="none" w:sz="0" w:space="0" w:color="auto"/>
                                                                                                                                            <w:left w:val="none" w:sz="0" w:space="0" w:color="auto"/>
                                                                                                                                            <w:bottom w:val="none" w:sz="0" w:space="0" w:color="auto"/>
                                                                                                                                            <w:right w:val="none" w:sz="0" w:space="0" w:color="auto"/>
                                                                                                                                          </w:divBdr>
                                                                                                                                          <w:divsChild>
                                                                                                                                            <w:div w:id="1979529318">
                                                                                                                                              <w:marLeft w:val="300"/>
                                                                                                                                              <w:marRight w:val="0"/>
                                                                                                                                              <w:marTop w:val="0"/>
                                                                                                                                              <w:marBottom w:val="0"/>
                                                                                                                                              <w:divBdr>
                                                                                                                                                <w:top w:val="none" w:sz="0" w:space="0" w:color="auto"/>
                                                                                                                                                <w:left w:val="none" w:sz="0" w:space="0" w:color="auto"/>
                                                                                                                                                <w:bottom w:val="none" w:sz="0" w:space="0" w:color="auto"/>
                                                                                                                                                <w:right w:val="none" w:sz="0" w:space="0" w:color="auto"/>
                                                                                                                                              </w:divBdr>
                                                                                                                                            </w:div>
                                                                                                                                            <w:div w:id="581257644">
                                                                                                                                              <w:marLeft w:val="300"/>
                                                                                                                                              <w:marRight w:val="0"/>
                                                                                                                                              <w:marTop w:val="0"/>
                                                                                                                                              <w:marBottom w:val="0"/>
                                                                                                                                              <w:divBdr>
                                                                                                                                                <w:top w:val="none" w:sz="0" w:space="0" w:color="auto"/>
                                                                                                                                                <w:left w:val="none" w:sz="0" w:space="0" w:color="auto"/>
                                                                                                                                                <w:bottom w:val="none" w:sz="0" w:space="0" w:color="auto"/>
                                                                                                                                                <w:right w:val="none" w:sz="0" w:space="0" w:color="auto"/>
                                                                                                                                              </w:divBdr>
                                                                                                                                              <w:divsChild>
                                                                                                                                                <w:div w:id="965157521">
                                                                                                                                                  <w:marLeft w:val="0"/>
                                                                                                                                                  <w:marRight w:val="0"/>
                                                                                                                                                  <w:marTop w:val="0"/>
                                                                                                                                                  <w:marBottom w:val="0"/>
                                                                                                                                                  <w:divBdr>
                                                                                                                                                    <w:top w:val="none" w:sz="0" w:space="0" w:color="auto"/>
                                                                                                                                                    <w:left w:val="none" w:sz="0" w:space="0" w:color="auto"/>
                                                                                                                                                    <w:bottom w:val="none" w:sz="0" w:space="0" w:color="auto"/>
                                                                                                                                                    <w:right w:val="none" w:sz="0" w:space="0" w:color="auto"/>
                                                                                                                                                  </w:divBdr>
                                                                                                                                                  <w:divsChild>
                                                                                                                                                    <w:div w:id="306785225">
                                                                                                                                                      <w:marLeft w:val="0"/>
                                                                                                                                                      <w:marRight w:val="0"/>
                                                                                                                                                      <w:marTop w:val="0"/>
                                                                                                                                                      <w:marBottom w:val="0"/>
                                                                                                                                                      <w:divBdr>
                                                                                                                                                        <w:top w:val="none" w:sz="0" w:space="0" w:color="auto"/>
                                                                                                                                                        <w:left w:val="none" w:sz="0" w:space="0" w:color="auto"/>
                                                                                                                                                        <w:bottom w:val="none" w:sz="0" w:space="0" w:color="auto"/>
                                                                                                                                                        <w:right w:val="none" w:sz="0" w:space="0" w:color="auto"/>
                                                                                                                                                      </w:divBdr>
                                                                                                                                                      <w:divsChild>
                                                                                                                                                        <w:div w:id="757091717">
                                                                                                                                                          <w:marLeft w:val="150"/>
                                                                                                                                                          <w:marRight w:val="0"/>
                                                                                                                                                          <w:marTop w:val="0"/>
                                                                                                                                                          <w:marBottom w:val="0"/>
                                                                                                                                                          <w:divBdr>
                                                                                                                                                            <w:top w:val="none" w:sz="0" w:space="0" w:color="auto"/>
                                                                                                                                                            <w:left w:val="none" w:sz="0" w:space="0" w:color="auto"/>
                                                                                                                                                            <w:bottom w:val="none" w:sz="0" w:space="0" w:color="auto"/>
                                                                                                                                                            <w:right w:val="none" w:sz="0" w:space="0" w:color="auto"/>
                                                                                                                                                          </w:divBdr>
                                                                                                                                                        </w:div>
                                                                                                                                                        <w:div w:id="156851354">
                                                                                                                                                          <w:marLeft w:val="0"/>
                                                                                                                                                          <w:marRight w:val="0"/>
                                                                                                                                                          <w:marTop w:val="0"/>
                                                                                                                                                          <w:marBottom w:val="0"/>
                                                                                                                                                          <w:divBdr>
                                                                                                                                                            <w:top w:val="none" w:sz="0" w:space="0" w:color="auto"/>
                                                                                                                                                            <w:left w:val="none" w:sz="0" w:space="0" w:color="auto"/>
                                                                                                                                                            <w:bottom w:val="none" w:sz="0" w:space="0" w:color="auto"/>
                                                                                                                                                            <w:right w:val="none" w:sz="0" w:space="0" w:color="auto"/>
                                                                                                                                                          </w:divBdr>
                                                                                                                                                        </w:div>
                                                                                                                                                        <w:div w:id="639379619">
                                                                                                                                                          <w:marLeft w:val="0"/>
                                                                                                                                                          <w:marRight w:val="150"/>
                                                                                                                                                          <w:marTop w:val="0"/>
                                                                                                                                                          <w:marBottom w:val="0"/>
                                                                                                                                                          <w:divBdr>
                                                                                                                                                            <w:top w:val="none" w:sz="0" w:space="0" w:color="auto"/>
                                                                                                                                                            <w:left w:val="none" w:sz="0" w:space="0" w:color="auto"/>
                                                                                                                                                            <w:bottom w:val="none" w:sz="0" w:space="0" w:color="auto"/>
                                                                                                                                                            <w:right w:val="none" w:sz="0" w:space="0" w:color="auto"/>
                                                                                                                                                          </w:divBdr>
                                                                                                                                                        </w:div>
                                                                                                                                                      </w:divsChild>
                                                                                                                                                    </w:div>
                                                                                                                                                    <w:div w:id="595211593">
                                                                                                                                                      <w:marLeft w:val="0"/>
                                                                                                                                                      <w:marRight w:val="0"/>
                                                                                                                                                      <w:marTop w:val="0"/>
                                                                                                                                                      <w:marBottom w:val="0"/>
                                                                                                                                                      <w:divBdr>
                                                                                                                                                        <w:top w:val="none" w:sz="0" w:space="0" w:color="auto"/>
                                                                                                                                                        <w:left w:val="none" w:sz="0" w:space="0" w:color="auto"/>
                                                                                                                                                        <w:bottom w:val="none" w:sz="0" w:space="0" w:color="auto"/>
                                                                                                                                                        <w:right w:val="none" w:sz="0" w:space="0" w:color="auto"/>
                                                                                                                                                      </w:divBdr>
                                                                                                                                                      <w:divsChild>
                                                                                                                                                        <w:div w:id="11879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77646">
                                                                                                                                      <w:marLeft w:val="0"/>
                                                                                                                                      <w:marRight w:val="0"/>
                                                                                                                                      <w:marTop w:val="0"/>
                                                                                                                                      <w:marBottom w:val="0"/>
                                                                                                                                      <w:divBdr>
                                                                                                                                        <w:top w:val="none" w:sz="0" w:space="0" w:color="auto"/>
                                                                                                                                        <w:left w:val="none" w:sz="0" w:space="0" w:color="auto"/>
                                                                                                                                        <w:bottom w:val="none" w:sz="0" w:space="0" w:color="auto"/>
                                                                                                                                        <w:right w:val="none" w:sz="0" w:space="0" w:color="auto"/>
                                                                                                                                      </w:divBdr>
                                                                                                                                      <w:divsChild>
                                                                                                                                        <w:div w:id="607589106">
                                                                                                                                          <w:marLeft w:val="0"/>
                                                                                                                                          <w:marRight w:val="0"/>
                                                                                                                                          <w:marTop w:val="0"/>
                                                                                                                                          <w:marBottom w:val="0"/>
                                                                                                                                          <w:divBdr>
                                                                                                                                            <w:top w:val="none" w:sz="0" w:space="0" w:color="auto"/>
                                                                                                                                            <w:left w:val="none" w:sz="0" w:space="0" w:color="auto"/>
                                                                                                                                            <w:bottom w:val="none" w:sz="0" w:space="0" w:color="auto"/>
                                                                                                                                            <w:right w:val="none" w:sz="0" w:space="0" w:color="auto"/>
                                                                                                                                          </w:divBdr>
                                                                                                                                          <w:divsChild>
                                                                                                                                            <w:div w:id="1703096664">
                                                                                                                                              <w:marLeft w:val="0"/>
                                                                                                                                              <w:marRight w:val="0"/>
                                                                                                                                              <w:marTop w:val="0"/>
                                                                                                                                              <w:marBottom w:val="0"/>
                                                                                                                                              <w:divBdr>
                                                                                                                                                <w:top w:val="none" w:sz="0" w:space="0" w:color="auto"/>
                                                                                                                                                <w:left w:val="none" w:sz="0" w:space="0" w:color="auto"/>
                                                                                                                                                <w:bottom w:val="none" w:sz="0" w:space="0" w:color="auto"/>
                                                                                                                                                <w:right w:val="none" w:sz="0" w:space="0" w:color="auto"/>
                                                                                                                                              </w:divBdr>
                                                                                                                                              <w:divsChild>
                                                                                                                                                <w:div w:id="1096631671">
                                                                                                                                                  <w:marLeft w:val="0"/>
                                                                                                                                                  <w:marRight w:val="0"/>
                                                                                                                                                  <w:marTop w:val="96"/>
                                                                                                                                                  <w:marBottom w:val="0"/>
                                                                                                                                                  <w:divBdr>
                                                                                                                                                    <w:top w:val="none" w:sz="0" w:space="0" w:color="auto"/>
                                                                                                                                                    <w:left w:val="none" w:sz="0" w:space="0" w:color="auto"/>
                                                                                                                                                    <w:bottom w:val="none" w:sz="0" w:space="0" w:color="auto"/>
                                                                                                                                                    <w:right w:val="none" w:sz="0" w:space="0" w:color="auto"/>
                                                                                                                                                  </w:divBdr>
                                                                                                                                                </w:div>
                                                                                                                                                <w:div w:id="2049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067">
                                                                                                                                          <w:marLeft w:val="0"/>
                                                                                                                                          <w:marRight w:val="0"/>
                                                                                                                                          <w:marTop w:val="0"/>
                                                                                                                                          <w:marBottom w:val="0"/>
                                                                                                                                          <w:divBdr>
                                                                                                                                            <w:top w:val="none" w:sz="0" w:space="0" w:color="auto"/>
                                                                                                                                            <w:left w:val="none" w:sz="0" w:space="0" w:color="auto"/>
                                                                                                                                            <w:bottom w:val="none" w:sz="0" w:space="0" w:color="auto"/>
                                                                                                                                            <w:right w:val="none" w:sz="0" w:space="0" w:color="auto"/>
                                                                                                                                          </w:divBdr>
                                                                                                                                          <w:divsChild>
                                                                                                                                            <w:div w:id="1342507894">
                                                                                                                                              <w:marLeft w:val="300"/>
                                                                                                                                              <w:marRight w:val="0"/>
                                                                                                                                              <w:marTop w:val="0"/>
                                                                                                                                              <w:marBottom w:val="0"/>
                                                                                                                                              <w:divBdr>
                                                                                                                                                <w:top w:val="none" w:sz="0" w:space="0" w:color="auto"/>
                                                                                                                                                <w:left w:val="none" w:sz="0" w:space="0" w:color="auto"/>
                                                                                                                                                <w:bottom w:val="none" w:sz="0" w:space="0" w:color="auto"/>
                                                                                                                                                <w:right w:val="none" w:sz="0" w:space="0" w:color="auto"/>
                                                                                                                                              </w:divBdr>
                                                                                                                                            </w:div>
                                                                                                                                          </w:divsChild>
                                                                                                                                        </w:div>
                                                                                                                                        <w:div w:id="1750885473">
                                                                                                                                          <w:marLeft w:val="0"/>
                                                                                                                                          <w:marRight w:val="0"/>
                                                                                                                                          <w:marTop w:val="0"/>
                                                                                                                                          <w:marBottom w:val="0"/>
                                                                                                                                          <w:divBdr>
                                                                                                                                            <w:top w:val="none" w:sz="0" w:space="0" w:color="auto"/>
                                                                                                                                            <w:left w:val="none" w:sz="0" w:space="0" w:color="auto"/>
                                                                                                                                            <w:bottom w:val="none" w:sz="0" w:space="0" w:color="auto"/>
                                                                                                                                            <w:right w:val="none" w:sz="0" w:space="0" w:color="auto"/>
                                                                                                                                          </w:divBdr>
                                                                                                                                          <w:divsChild>
                                                                                                                                            <w:div w:id="5058725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1592149">
                                                                                                                                      <w:marLeft w:val="0"/>
                                                                                                                                      <w:marRight w:val="0"/>
                                                                                                                                      <w:marTop w:val="0"/>
                                                                                                                                      <w:marBottom w:val="0"/>
                                                                                                                                      <w:divBdr>
                                                                                                                                        <w:top w:val="none" w:sz="0" w:space="0" w:color="auto"/>
                                                                                                                                        <w:left w:val="none" w:sz="0" w:space="0" w:color="auto"/>
                                                                                                                                        <w:bottom w:val="none" w:sz="0" w:space="0" w:color="auto"/>
                                                                                                                                        <w:right w:val="none" w:sz="0" w:space="0" w:color="auto"/>
                                                                                                                                      </w:divBdr>
                                                                                                                                      <w:divsChild>
                                                                                                                                        <w:div w:id="1283881801">
                                                                                                                                          <w:marLeft w:val="0"/>
                                                                                                                                          <w:marRight w:val="0"/>
                                                                                                                                          <w:marTop w:val="0"/>
                                                                                                                                          <w:marBottom w:val="0"/>
                                                                                                                                          <w:divBdr>
                                                                                                                                            <w:top w:val="none" w:sz="0" w:space="0" w:color="auto"/>
                                                                                                                                            <w:left w:val="none" w:sz="0" w:space="0" w:color="auto"/>
                                                                                                                                            <w:bottom w:val="none" w:sz="0" w:space="0" w:color="auto"/>
                                                                                                                                            <w:right w:val="none" w:sz="0" w:space="0" w:color="auto"/>
                                                                                                                                          </w:divBdr>
                                                                                                                                          <w:divsChild>
                                                                                                                                            <w:div w:id="971401989">
                                                                                                                                              <w:marLeft w:val="0"/>
                                                                                                                                              <w:marRight w:val="0"/>
                                                                                                                                              <w:marTop w:val="0"/>
                                                                                                                                              <w:marBottom w:val="0"/>
                                                                                                                                              <w:divBdr>
                                                                                                                                                <w:top w:val="none" w:sz="0" w:space="0" w:color="auto"/>
                                                                                                                                                <w:left w:val="none" w:sz="0" w:space="0" w:color="auto"/>
                                                                                                                                                <w:bottom w:val="none" w:sz="0" w:space="0" w:color="auto"/>
                                                                                                                                                <w:right w:val="none" w:sz="0" w:space="0" w:color="auto"/>
                                                                                                                                              </w:divBdr>
                                                                                                                                              <w:divsChild>
                                                                                                                                                <w:div w:id="1900048190">
                                                                                                                                                  <w:marLeft w:val="0"/>
                                                                                                                                                  <w:marRight w:val="0"/>
                                                                                                                                                  <w:marTop w:val="96"/>
                                                                                                                                                  <w:marBottom w:val="0"/>
                                                                                                                                                  <w:divBdr>
                                                                                                                                                    <w:top w:val="none" w:sz="0" w:space="0" w:color="auto"/>
                                                                                                                                                    <w:left w:val="none" w:sz="0" w:space="0" w:color="auto"/>
                                                                                                                                                    <w:bottom w:val="none" w:sz="0" w:space="0" w:color="auto"/>
                                                                                                                                                    <w:right w:val="none" w:sz="0" w:space="0" w:color="auto"/>
                                                                                                                                                  </w:divBdr>
                                                                                                                                                </w:div>
                                                                                                                                                <w:div w:id="13225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668">
                                                                                                                                      <w:marLeft w:val="0"/>
                                                                                                                                      <w:marRight w:val="0"/>
                                                                                                                                      <w:marTop w:val="0"/>
                                                                                                                                      <w:marBottom w:val="0"/>
                                                                                                                                      <w:divBdr>
                                                                                                                                        <w:top w:val="none" w:sz="0" w:space="0" w:color="auto"/>
                                                                                                                                        <w:left w:val="none" w:sz="0" w:space="0" w:color="auto"/>
                                                                                                                                        <w:bottom w:val="none" w:sz="0" w:space="0" w:color="auto"/>
                                                                                                                                        <w:right w:val="none" w:sz="0" w:space="0" w:color="auto"/>
                                                                                                                                      </w:divBdr>
                                                                                                                                      <w:divsChild>
                                                                                                                                        <w:div w:id="271714609">
                                                                                                                                          <w:marLeft w:val="0"/>
                                                                                                                                          <w:marRight w:val="0"/>
                                                                                                                                          <w:marTop w:val="0"/>
                                                                                                                                          <w:marBottom w:val="0"/>
                                                                                                                                          <w:divBdr>
                                                                                                                                            <w:top w:val="none" w:sz="0" w:space="0" w:color="auto"/>
                                                                                                                                            <w:left w:val="none" w:sz="0" w:space="0" w:color="auto"/>
                                                                                                                                            <w:bottom w:val="none" w:sz="0" w:space="0" w:color="auto"/>
                                                                                                                                            <w:right w:val="none" w:sz="0" w:space="0" w:color="auto"/>
                                                                                                                                          </w:divBdr>
                                                                                                                                        </w:div>
                                                                                                                                      </w:divsChild>
                                                                                                                                    </w:div>
                                                                                                                                    <w:div w:id="326448263">
                                                                                                                                      <w:marLeft w:val="0"/>
                                                                                                                                      <w:marRight w:val="0"/>
                                                                                                                                      <w:marTop w:val="0"/>
                                                                                                                                      <w:marBottom w:val="0"/>
                                                                                                                                      <w:divBdr>
                                                                                                                                        <w:top w:val="none" w:sz="0" w:space="0" w:color="auto"/>
                                                                                                                                        <w:left w:val="none" w:sz="0" w:space="0" w:color="auto"/>
                                                                                                                                        <w:bottom w:val="none" w:sz="0" w:space="0" w:color="auto"/>
                                                                                                                                        <w:right w:val="none" w:sz="0" w:space="0" w:color="auto"/>
                                                                                                                                      </w:divBdr>
                                                                                                                                      <w:divsChild>
                                                                                                                                        <w:div w:id="1806697186">
                                                                                                                                          <w:marLeft w:val="0"/>
                                                                                                                                          <w:marRight w:val="0"/>
                                                                                                                                          <w:marTop w:val="0"/>
                                                                                                                                          <w:marBottom w:val="0"/>
                                                                                                                                          <w:divBdr>
                                                                                                                                            <w:top w:val="none" w:sz="0" w:space="0" w:color="auto"/>
                                                                                                                                            <w:left w:val="none" w:sz="0" w:space="0" w:color="auto"/>
                                                                                                                                            <w:bottom w:val="none" w:sz="0" w:space="0" w:color="auto"/>
                                                                                                                                            <w:right w:val="none" w:sz="0" w:space="0" w:color="auto"/>
                                                                                                                                          </w:divBdr>
                                                                                                                                        </w:div>
                                                                                                                                      </w:divsChild>
                                                                                                                                    </w:div>
                                                                                                                                    <w:div w:id="2088963209">
                                                                                                                                      <w:marLeft w:val="0"/>
                                                                                                                                      <w:marRight w:val="0"/>
                                                                                                                                      <w:marTop w:val="0"/>
                                                                                                                                      <w:marBottom w:val="0"/>
                                                                                                                                      <w:divBdr>
                                                                                                                                        <w:top w:val="none" w:sz="0" w:space="0" w:color="auto"/>
                                                                                                                                        <w:left w:val="none" w:sz="0" w:space="0" w:color="auto"/>
                                                                                                                                        <w:bottom w:val="none" w:sz="0" w:space="0" w:color="auto"/>
                                                                                                                                        <w:right w:val="none" w:sz="0" w:space="0" w:color="auto"/>
                                                                                                                                      </w:divBdr>
                                                                                                                                      <w:divsChild>
                                                                                                                                        <w:div w:id="621033219">
                                                                                                                                          <w:marLeft w:val="0"/>
                                                                                                                                          <w:marRight w:val="0"/>
                                                                                                                                          <w:marTop w:val="0"/>
                                                                                                                                          <w:marBottom w:val="0"/>
                                                                                                                                          <w:divBdr>
                                                                                                                                            <w:top w:val="none" w:sz="0" w:space="0" w:color="auto"/>
                                                                                                                                            <w:left w:val="none" w:sz="0" w:space="0" w:color="auto"/>
                                                                                                                                            <w:bottom w:val="none" w:sz="0" w:space="0" w:color="auto"/>
                                                                                                                                            <w:right w:val="none" w:sz="0" w:space="0" w:color="auto"/>
                                                                                                                                          </w:divBdr>
                                                                                                                                        </w:div>
                                                                                                                                      </w:divsChild>
                                                                                                                                    </w:div>
                                                                                                                                    <w:div w:id="823818118">
                                                                                                                                      <w:marLeft w:val="0"/>
                                                                                                                                      <w:marRight w:val="0"/>
                                                                                                                                      <w:marTop w:val="0"/>
                                                                                                                                      <w:marBottom w:val="0"/>
                                                                                                                                      <w:divBdr>
                                                                                                                                        <w:top w:val="none" w:sz="0" w:space="0" w:color="auto"/>
                                                                                                                                        <w:left w:val="none" w:sz="0" w:space="0" w:color="auto"/>
                                                                                                                                        <w:bottom w:val="none" w:sz="0" w:space="0" w:color="auto"/>
                                                                                                                                        <w:right w:val="none" w:sz="0" w:space="0" w:color="auto"/>
                                                                                                                                      </w:divBdr>
                                                                                                                                      <w:divsChild>
                                                                                                                                        <w:div w:id="2015722843">
                                                                                                                                          <w:marLeft w:val="0"/>
                                                                                                                                          <w:marRight w:val="0"/>
                                                                                                                                          <w:marTop w:val="0"/>
                                                                                                                                          <w:marBottom w:val="0"/>
                                                                                                                                          <w:divBdr>
                                                                                                                                            <w:top w:val="none" w:sz="0" w:space="0" w:color="auto"/>
                                                                                                                                            <w:left w:val="none" w:sz="0" w:space="0" w:color="auto"/>
                                                                                                                                            <w:bottom w:val="none" w:sz="0" w:space="0" w:color="auto"/>
                                                                                                                                            <w:right w:val="none" w:sz="0" w:space="0" w:color="auto"/>
                                                                                                                                          </w:divBdr>
                                                                                                                                        </w:div>
                                                                                                                                      </w:divsChild>
                                                                                                                                    </w:div>
                                                                                                                                    <w:div w:id="1516530635">
                                                                                                                                      <w:marLeft w:val="0"/>
                                                                                                                                      <w:marRight w:val="0"/>
                                                                                                                                      <w:marTop w:val="0"/>
                                                                                                                                      <w:marBottom w:val="0"/>
                                                                                                                                      <w:divBdr>
                                                                                                                                        <w:top w:val="none" w:sz="0" w:space="0" w:color="auto"/>
                                                                                                                                        <w:left w:val="none" w:sz="0" w:space="0" w:color="auto"/>
                                                                                                                                        <w:bottom w:val="none" w:sz="0" w:space="0" w:color="auto"/>
                                                                                                                                        <w:right w:val="none" w:sz="0" w:space="0" w:color="auto"/>
                                                                                                                                      </w:divBdr>
                                                                                                                                      <w:divsChild>
                                                                                                                                        <w:div w:id="1417552917">
                                                                                                                                          <w:marLeft w:val="0"/>
                                                                                                                                          <w:marRight w:val="0"/>
                                                                                                                                          <w:marTop w:val="0"/>
                                                                                                                                          <w:marBottom w:val="0"/>
                                                                                                                                          <w:divBdr>
                                                                                                                                            <w:top w:val="none" w:sz="0" w:space="0" w:color="auto"/>
                                                                                                                                            <w:left w:val="none" w:sz="0" w:space="0" w:color="auto"/>
                                                                                                                                            <w:bottom w:val="none" w:sz="0" w:space="0" w:color="auto"/>
                                                                                                                                            <w:right w:val="none" w:sz="0" w:space="0" w:color="auto"/>
                                                                                                                                          </w:divBdr>
                                                                                                                                          <w:divsChild>
                                                                                                                                            <w:div w:id="1871840572">
                                                                                                                                              <w:marLeft w:val="0"/>
                                                                                                                                              <w:marRight w:val="0"/>
                                                                                                                                              <w:marTop w:val="96"/>
                                                                                                                                              <w:marBottom w:val="0"/>
                                                                                                                                              <w:divBdr>
                                                                                                                                                <w:top w:val="none" w:sz="0" w:space="0" w:color="auto"/>
                                                                                                                                                <w:left w:val="none" w:sz="0" w:space="0" w:color="auto"/>
                                                                                                                                                <w:bottom w:val="none" w:sz="0" w:space="0" w:color="auto"/>
                                                                                                                                                <w:right w:val="none" w:sz="0" w:space="0" w:color="auto"/>
                                                                                                                                              </w:divBdr>
                                                                                                                                            </w:div>
                                                                                                                                            <w:div w:id="13216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journals.sagepub.com/doi/full/10.1177/0956462418796445" TargetMode="External"/><Relationship Id="rId26" Type="http://schemas.openxmlformats.org/officeDocument/2006/relationships/hyperlink" Target="http://journals.sagepub.com/doi/full/10.1177/0956462418796445" TargetMode="External"/><Relationship Id="rId39" Type="http://schemas.openxmlformats.org/officeDocument/2006/relationships/hyperlink" Target="http://journals.sagepub.com/doi/full/10.1177/0956462418796445" TargetMode="External"/><Relationship Id="rId21" Type="http://schemas.openxmlformats.org/officeDocument/2006/relationships/hyperlink" Target="http://journals.sagepub.com/doi/full/10.1177/0956462418796445" TargetMode="External"/><Relationship Id="rId34" Type="http://schemas.openxmlformats.org/officeDocument/2006/relationships/hyperlink" Target="http://journals.sagepub.com/doi/full/10.1177/0956462418796445" TargetMode="External"/><Relationship Id="rId42" Type="http://schemas.openxmlformats.org/officeDocument/2006/relationships/hyperlink" Target="http://journals.sagepub.com/doi/full/10.1177/0956462418796445" TargetMode="External"/><Relationship Id="rId47" Type="http://schemas.openxmlformats.org/officeDocument/2006/relationships/hyperlink" Target="http://journals.sagepub.com/doi/full/10.1177/0956462418796445" TargetMode="External"/><Relationship Id="rId50" Type="http://schemas.openxmlformats.org/officeDocument/2006/relationships/hyperlink" Target="http://journals.sagepub.com/doi/full/10.1177/0956462418796445" TargetMode="External"/><Relationship Id="rId55" Type="http://schemas.openxmlformats.org/officeDocument/2006/relationships/hyperlink" Target="http://journals.sagepub.com/doi/full/10.1177/0956462418796445" TargetMode="External"/><Relationship Id="rId63" Type="http://schemas.openxmlformats.org/officeDocument/2006/relationships/hyperlink" Target="http://journals.sagepub.com/doi/full/10.1177/0956462418796445" TargetMode="External"/><Relationship Id="rId68" Type="http://schemas.openxmlformats.org/officeDocument/2006/relationships/hyperlink" Target="http://journals.sagepub.com/doi/full/10.1177/0956462418796445" TargetMode="External"/><Relationship Id="rId76" Type="http://schemas.openxmlformats.org/officeDocument/2006/relationships/hyperlink" Target="http://journals.sagepub.com/doi/full/10.1177/0956462418796445" TargetMode="External"/><Relationship Id="rId84" Type="http://schemas.openxmlformats.org/officeDocument/2006/relationships/header" Target="header3.xml"/><Relationship Id="rId89"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journals.sagepub.com/doi/full/10.1177/0956462418796445"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s.sagepub.com/keyword/Epidemiology%2C+Older+Adults%2C+Testing" TargetMode="External"/><Relationship Id="rId29" Type="http://schemas.openxmlformats.org/officeDocument/2006/relationships/hyperlink" Target="http://journals.sagepub.com/doi/full/10.1177/0956462418796445" TargetMode="External"/><Relationship Id="rId11" Type="http://schemas.openxmlformats.org/officeDocument/2006/relationships/hyperlink" Target="mailto:tim.doran@york.ac.uk" TargetMode="External"/><Relationship Id="rId24" Type="http://schemas.openxmlformats.org/officeDocument/2006/relationships/hyperlink" Target="http://journals.sagepub.com/doi/full/10.1177/0956462418796445" TargetMode="External"/><Relationship Id="rId32" Type="http://schemas.openxmlformats.org/officeDocument/2006/relationships/hyperlink" Target="http://journals.sagepub.com/doi/full/10.1177/0956462418796445" TargetMode="External"/><Relationship Id="rId37" Type="http://schemas.openxmlformats.org/officeDocument/2006/relationships/hyperlink" Target="http://journals.sagepub.com/doi/full/10.1177/0956462418796445" TargetMode="External"/><Relationship Id="rId40" Type="http://schemas.openxmlformats.org/officeDocument/2006/relationships/hyperlink" Target="http://journals.sagepub.com/doi/full/10.1177/0956462418796445" TargetMode="External"/><Relationship Id="rId45" Type="http://schemas.openxmlformats.org/officeDocument/2006/relationships/hyperlink" Target="http://journals.sagepub.com/doi/full/10.1177/0956462418796445" TargetMode="External"/><Relationship Id="rId53" Type="http://schemas.openxmlformats.org/officeDocument/2006/relationships/hyperlink" Target="http://journals.sagepub.com/doi/full/10.1177/0956462418796445" TargetMode="External"/><Relationship Id="rId58" Type="http://schemas.openxmlformats.org/officeDocument/2006/relationships/hyperlink" Target="http://journals.sagepub.com/doi/full/10.1177/0956462418796445" TargetMode="External"/><Relationship Id="rId66" Type="http://schemas.openxmlformats.org/officeDocument/2006/relationships/hyperlink" Target="http://journals.sagepub.com/doi/full/10.1177/0956462418796445" TargetMode="External"/><Relationship Id="rId74" Type="http://schemas.openxmlformats.org/officeDocument/2006/relationships/hyperlink" Target="http://journals.sagepub.com/doi/full/10.1177/0956462418796445" TargetMode="External"/><Relationship Id="rId79" Type="http://schemas.openxmlformats.org/officeDocument/2006/relationships/hyperlink" Target="http://journals.sagepub.com/doi/full/10.1177/0956462418796445"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journals.sagepub.com/doi/full/10.1177/0956462418796445" TargetMode="External"/><Relationship Id="rId82" Type="http://schemas.openxmlformats.org/officeDocument/2006/relationships/chart" Target="charts/chart1.xml"/><Relationship Id="rId90" Type="http://schemas.openxmlformats.org/officeDocument/2006/relationships/chart" Target="charts/chart3.xml"/><Relationship Id="rId19" Type="http://schemas.openxmlformats.org/officeDocument/2006/relationships/hyperlink" Target="http://journals.sagepub.com/doi/full/10.1177/0956462418796445" TargetMode="External"/><Relationship Id="rId14" Type="http://schemas.openxmlformats.org/officeDocument/2006/relationships/hyperlink" Target="http://journals.sagepub.com/keyword/HIV" TargetMode="External"/><Relationship Id="rId22" Type="http://schemas.openxmlformats.org/officeDocument/2006/relationships/hyperlink" Target="http://journals.sagepub.com/doi/full/10.1177/0956462418796445" TargetMode="External"/><Relationship Id="rId27" Type="http://schemas.openxmlformats.org/officeDocument/2006/relationships/hyperlink" Target="http://journals.sagepub.com/doi/full/10.1177/0956462418796445" TargetMode="External"/><Relationship Id="rId30" Type="http://schemas.openxmlformats.org/officeDocument/2006/relationships/hyperlink" Target="http://journals.sagepub.com/doi/full/10.1177/0956462418796445" TargetMode="External"/><Relationship Id="rId35" Type="http://schemas.openxmlformats.org/officeDocument/2006/relationships/hyperlink" Target="http://journals.sagepub.com/doi/full/10.1177/0956462418796445" TargetMode="External"/><Relationship Id="rId43" Type="http://schemas.openxmlformats.org/officeDocument/2006/relationships/hyperlink" Target="http://journals.sagepub.com/doi/full/10.1177/0956462418796445" TargetMode="External"/><Relationship Id="rId48" Type="http://schemas.openxmlformats.org/officeDocument/2006/relationships/hyperlink" Target="http://journals.sagepub.com/doi/full/10.1177/0956462418796445" TargetMode="External"/><Relationship Id="rId56" Type="http://schemas.openxmlformats.org/officeDocument/2006/relationships/hyperlink" Target="http://journals.sagepub.com/doi/full/10.1177/0956462418796445" TargetMode="External"/><Relationship Id="rId64" Type="http://schemas.openxmlformats.org/officeDocument/2006/relationships/hyperlink" Target="http://journals.sagepub.com/doi/full/10.1177/0956462418796445" TargetMode="External"/><Relationship Id="rId69" Type="http://schemas.openxmlformats.org/officeDocument/2006/relationships/hyperlink" Target="http://journals.sagepub.com/doi/full/10.1177/0956462418796445" TargetMode="External"/><Relationship Id="rId77" Type="http://schemas.openxmlformats.org/officeDocument/2006/relationships/hyperlink" Target="http://journals.sagepub.com/doi/full/10.1177/0956462418796445" TargetMode="External"/><Relationship Id="rId8" Type="http://schemas.openxmlformats.org/officeDocument/2006/relationships/hyperlink" Target="mailto:sadie.bell@lshtm.ac.uk" TargetMode="External"/><Relationship Id="rId51" Type="http://schemas.openxmlformats.org/officeDocument/2006/relationships/hyperlink" Target="http://journals.sagepub.com/doi/full/10.1177/0956462418796445" TargetMode="External"/><Relationship Id="rId72" Type="http://schemas.openxmlformats.org/officeDocument/2006/relationships/hyperlink" Target="http://journals.sagepub.com/doi/full/10.1177/0956462418796445" TargetMode="External"/><Relationship Id="rId80" Type="http://schemas.openxmlformats.org/officeDocument/2006/relationships/hyperlink" Target="http://journals.sagepub.com/doi/full/10.1177/0956462418796445"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journals.sagepub.com/doi/full/10.1177/0956462418796445" TargetMode="External"/><Relationship Id="rId25" Type="http://schemas.openxmlformats.org/officeDocument/2006/relationships/hyperlink" Target="http://journals.sagepub.com/doi/full/10.1177/0956462418796445" TargetMode="External"/><Relationship Id="rId33" Type="http://schemas.openxmlformats.org/officeDocument/2006/relationships/hyperlink" Target="http://journals.sagepub.com/doi/full/10.1177/0956462418796445" TargetMode="External"/><Relationship Id="rId38" Type="http://schemas.openxmlformats.org/officeDocument/2006/relationships/hyperlink" Target="http://journals.sagepub.com/doi/full/10.1177/0956462418796445" TargetMode="External"/><Relationship Id="rId46" Type="http://schemas.openxmlformats.org/officeDocument/2006/relationships/hyperlink" Target="http://journals.sagepub.com/doi/full/10.1177/0956462418796445" TargetMode="External"/><Relationship Id="rId59" Type="http://schemas.openxmlformats.org/officeDocument/2006/relationships/hyperlink" Target="http://journals.sagepub.com/doi/full/10.1177/0956462418796445" TargetMode="External"/><Relationship Id="rId67" Type="http://schemas.openxmlformats.org/officeDocument/2006/relationships/hyperlink" Target="http://journals.sagepub.com/doi/full/10.1177/0956462418796445" TargetMode="External"/><Relationship Id="rId20" Type="http://schemas.openxmlformats.org/officeDocument/2006/relationships/hyperlink" Target="http://journals.sagepub.com/doi/full/10.1177/0956462418796445" TargetMode="External"/><Relationship Id="rId41" Type="http://schemas.openxmlformats.org/officeDocument/2006/relationships/hyperlink" Target="http://journals.sagepub.com/doi/full/10.1177/0956462418796445" TargetMode="External"/><Relationship Id="rId54" Type="http://schemas.openxmlformats.org/officeDocument/2006/relationships/hyperlink" Target="http://journals.sagepub.com/doi/full/10.1177/0956462418796445" TargetMode="External"/><Relationship Id="rId62" Type="http://schemas.openxmlformats.org/officeDocument/2006/relationships/hyperlink" Target="http://journals.sagepub.com/doi/full/10.1177/0956462418796445" TargetMode="External"/><Relationship Id="rId70" Type="http://schemas.openxmlformats.org/officeDocument/2006/relationships/hyperlink" Target="http://journals.sagepub.com/doi/full/10.1177/0956462418796445" TargetMode="External"/><Relationship Id="rId75" Type="http://schemas.openxmlformats.org/officeDocument/2006/relationships/hyperlink" Target="http://journals.sagepub.com/doi/full/10.1177/0956462418796445" TargetMode="External"/><Relationship Id="rId83" Type="http://schemas.openxmlformats.org/officeDocument/2006/relationships/header" Target="header2.xml"/><Relationship Id="rId88" Type="http://schemas.openxmlformats.org/officeDocument/2006/relationships/header" Target="header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urnals.sagepub.com/keyword/Diagnosis" TargetMode="External"/><Relationship Id="rId23" Type="http://schemas.openxmlformats.org/officeDocument/2006/relationships/hyperlink" Target="http://journals.sagepub.com/doi/full/10.1177/0956462418796445" TargetMode="External"/><Relationship Id="rId28" Type="http://schemas.openxmlformats.org/officeDocument/2006/relationships/hyperlink" Target="http://journals.sagepub.com/doi/full/10.1177/0956462418796445" TargetMode="External"/><Relationship Id="rId36" Type="http://schemas.openxmlformats.org/officeDocument/2006/relationships/hyperlink" Target="http://journals.sagepub.com/doi/full/10.1177/0956462418796445" TargetMode="External"/><Relationship Id="rId49" Type="http://schemas.openxmlformats.org/officeDocument/2006/relationships/hyperlink" Target="http://journals.sagepub.com/doi/full/10.1177/0956462418796445" TargetMode="External"/><Relationship Id="rId57" Type="http://schemas.openxmlformats.org/officeDocument/2006/relationships/hyperlink" Target="http://journals.sagepub.com/doi/full/10.1177/0956462418796445" TargetMode="External"/><Relationship Id="rId10" Type="http://schemas.openxmlformats.org/officeDocument/2006/relationships/hyperlink" Target="mailto:fabiola.martin@hyms.ac.uk" TargetMode="External"/><Relationship Id="rId31" Type="http://schemas.openxmlformats.org/officeDocument/2006/relationships/hyperlink" Target="http://journals.sagepub.com/doi/full/10.1177/0956462418796445" TargetMode="External"/><Relationship Id="rId44" Type="http://schemas.openxmlformats.org/officeDocument/2006/relationships/hyperlink" Target="http://journals.sagepub.com/doi/full/10.1177/0956462418796445" TargetMode="External"/><Relationship Id="rId52" Type="http://schemas.openxmlformats.org/officeDocument/2006/relationships/hyperlink" Target="http://journals.sagepub.com/doi/full/10.1177/0956462418796445" TargetMode="External"/><Relationship Id="rId60" Type="http://schemas.openxmlformats.org/officeDocument/2006/relationships/hyperlink" Target="http://journals.sagepub.com/doi/full/10.1177/0956462418796445" TargetMode="External"/><Relationship Id="rId65" Type="http://schemas.openxmlformats.org/officeDocument/2006/relationships/hyperlink" Target="http://journals.sagepub.com/doi/full/10.1177/0956462418796445" TargetMode="External"/><Relationship Id="rId73" Type="http://schemas.openxmlformats.org/officeDocument/2006/relationships/hyperlink" Target="http://journals.sagepub.com/doi/full/10.1177/0956462418796445" TargetMode="External"/><Relationship Id="rId78" Type="http://schemas.openxmlformats.org/officeDocument/2006/relationships/hyperlink" Target="http://journals.sagepub.com/doi/full/10.1177/0956462418796445" TargetMode="External"/><Relationship Id="rId81" Type="http://schemas.openxmlformats.org/officeDocument/2006/relationships/hyperlink" Target="http://journals.sagepub.com/doi/full/10.1177/0956462418796445" TargetMode="External"/><Relationship Id="rId86"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joy.adamson@newcastle.ac.u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Work%20on%20HIV%20testing\Current%20data%20set%20-%20HIV%20testing.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00179816232699"/>
          <c:y val="0.126492388451444"/>
          <c:w val="0.80823993774971703"/>
          <c:h val="0.75197007090531598"/>
        </c:manualLayout>
      </c:layout>
      <c:lineChart>
        <c:grouping val="standard"/>
        <c:varyColors val="0"/>
        <c:ser>
          <c:idx val="0"/>
          <c:order val="0"/>
          <c:tx>
            <c:strRef>
              <c:f>'Risk groups - offered'!$C$4</c:f>
              <c:strCache>
                <c:ptCount val="1"/>
                <c:pt idx="0">
                  <c:v>Heterosexual females</c:v>
                </c:pt>
              </c:strCache>
            </c:strRef>
          </c:tx>
          <c:spPr>
            <a:ln w="12697">
              <a:solidFill>
                <a:srgbClr val="33CCCC"/>
              </a:solidFill>
              <a:prstDash val="solid"/>
            </a:ln>
          </c:spPr>
          <c:marker>
            <c:symbol val="diamond"/>
            <c:size val="5"/>
            <c:spPr>
              <a:solidFill>
                <a:srgbClr val="5B9BD5"/>
              </a:solidFill>
              <a:ln>
                <a:solidFill>
                  <a:srgbClr val="33CCCC"/>
                </a:solidFill>
                <a:prstDash val="solid"/>
              </a:ln>
            </c:spPr>
          </c:marker>
          <c:cat>
            <c:strRef>
              <c:f>'Risk groups - offered'!$B$5:$B$16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offered'!$C$5:$C$16</c:f>
              <c:numCache>
                <c:formatCode>0.0%</c:formatCode>
                <c:ptCount val="12"/>
                <c:pt idx="0">
                  <c:v>0.83912503505468505</c:v>
                </c:pt>
                <c:pt idx="1">
                  <c:v>0.87002561532464695</c:v>
                </c:pt>
                <c:pt idx="2">
                  <c:v>0.86219759994565004</c:v>
                </c:pt>
                <c:pt idx="3">
                  <c:v>0.84984317139949905</c:v>
                </c:pt>
                <c:pt idx="4">
                  <c:v>0.83313063839828705</c:v>
                </c:pt>
                <c:pt idx="5">
                  <c:v>0.82808692120227501</c:v>
                </c:pt>
                <c:pt idx="6">
                  <c:v>0.826527001203199</c:v>
                </c:pt>
                <c:pt idx="7">
                  <c:v>0.824057450628366</c:v>
                </c:pt>
                <c:pt idx="8">
                  <c:v>0.78081058726219998</c:v>
                </c:pt>
                <c:pt idx="9">
                  <c:v>0.71389972981086802</c:v>
                </c:pt>
                <c:pt idx="10">
                  <c:v>0.66096698113207497</c:v>
                </c:pt>
                <c:pt idx="11">
                  <c:v>0.521446593776282</c:v>
                </c:pt>
              </c:numCache>
            </c:numRef>
          </c:val>
          <c:smooth val="0"/>
          <c:extLst>
            <c:ext xmlns:c16="http://schemas.microsoft.com/office/drawing/2014/chart" uri="{C3380CC4-5D6E-409C-BE32-E72D297353CC}">
              <c16:uniqueId val="{00000000-8B5C-48D0-96C5-3FA40663C59C}"/>
            </c:ext>
          </c:extLst>
        </c:ser>
        <c:ser>
          <c:idx val="1"/>
          <c:order val="1"/>
          <c:tx>
            <c:strRef>
              <c:f>'Risk groups - offered'!$D$4</c:f>
              <c:strCache>
                <c:ptCount val="1"/>
                <c:pt idx="0">
                  <c:v>Heterosexual males</c:v>
                </c:pt>
              </c:strCache>
            </c:strRef>
          </c:tx>
          <c:spPr>
            <a:ln w="12697">
              <a:solidFill>
                <a:srgbClr val="DD0806"/>
              </a:solidFill>
              <a:prstDash val="solid"/>
            </a:ln>
          </c:spPr>
          <c:marker>
            <c:symbol val="square"/>
            <c:size val="5"/>
            <c:spPr>
              <a:solidFill>
                <a:srgbClr val="C00000"/>
              </a:solidFill>
              <a:ln>
                <a:solidFill>
                  <a:srgbClr val="DD0806"/>
                </a:solidFill>
                <a:prstDash val="solid"/>
              </a:ln>
            </c:spPr>
          </c:marker>
          <c:cat>
            <c:strRef>
              <c:f>'Risk groups - offered'!$B$5:$B$16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offered'!$D$5:$D$16</c:f>
              <c:numCache>
                <c:formatCode>0.0%</c:formatCode>
                <c:ptCount val="12"/>
                <c:pt idx="0">
                  <c:v>0.90298063275491103</c:v>
                </c:pt>
                <c:pt idx="1">
                  <c:v>0.926307250244505</c:v>
                </c:pt>
                <c:pt idx="2">
                  <c:v>0.92683782574754203</c:v>
                </c:pt>
                <c:pt idx="3">
                  <c:v>0.91677171865045504</c:v>
                </c:pt>
                <c:pt idx="4">
                  <c:v>0.90727807388347703</c:v>
                </c:pt>
                <c:pt idx="5">
                  <c:v>0.89283725804866898</c:v>
                </c:pt>
                <c:pt idx="6">
                  <c:v>0.88486756966612001</c:v>
                </c:pt>
                <c:pt idx="7">
                  <c:v>0.87251271106647399</c:v>
                </c:pt>
                <c:pt idx="8">
                  <c:v>0.85584788856953398</c:v>
                </c:pt>
                <c:pt idx="9">
                  <c:v>0.84135438463001699</c:v>
                </c:pt>
                <c:pt idx="10">
                  <c:v>0.81047453703703698</c:v>
                </c:pt>
                <c:pt idx="11">
                  <c:v>0.75917525773195904</c:v>
                </c:pt>
              </c:numCache>
            </c:numRef>
          </c:val>
          <c:smooth val="0"/>
          <c:extLst>
            <c:ext xmlns:c16="http://schemas.microsoft.com/office/drawing/2014/chart" uri="{C3380CC4-5D6E-409C-BE32-E72D297353CC}">
              <c16:uniqueId val="{00000001-8B5C-48D0-96C5-3FA40663C59C}"/>
            </c:ext>
          </c:extLst>
        </c:ser>
        <c:ser>
          <c:idx val="2"/>
          <c:order val="2"/>
          <c:tx>
            <c:strRef>
              <c:f>'Risk groups - offered'!$E$4</c:f>
              <c:strCache>
                <c:ptCount val="1"/>
                <c:pt idx="0">
                  <c:v>MSM</c:v>
                </c:pt>
              </c:strCache>
            </c:strRef>
          </c:tx>
          <c:spPr>
            <a:ln w="12697">
              <a:solidFill>
                <a:srgbClr val="70AD47"/>
              </a:solidFill>
              <a:prstDash val="solid"/>
            </a:ln>
          </c:spPr>
          <c:marker>
            <c:symbol val="triangle"/>
            <c:size val="5"/>
            <c:spPr>
              <a:solidFill>
                <a:srgbClr val="70AD47"/>
              </a:solidFill>
              <a:ln>
                <a:solidFill>
                  <a:srgbClr val="339966"/>
                </a:solidFill>
                <a:prstDash val="solid"/>
              </a:ln>
            </c:spPr>
          </c:marker>
          <c:cat>
            <c:strRef>
              <c:f>'Risk groups - offered'!$B$5:$B$16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offered'!$E$5:$E$16</c:f>
              <c:numCache>
                <c:formatCode>0.0%</c:formatCode>
                <c:ptCount val="12"/>
                <c:pt idx="0">
                  <c:v>0.91676816889971602</c:v>
                </c:pt>
                <c:pt idx="1">
                  <c:v>0.92649357196874205</c:v>
                </c:pt>
                <c:pt idx="2">
                  <c:v>0.92781866085218501</c:v>
                </c:pt>
                <c:pt idx="3">
                  <c:v>0.91786826623601303</c:v>
                </c:pt>
                <c:pt idx="4">
                  <c:v>0.910132382892057</c:v>
                </c:pt>
                <c:pt idx="5">
                  <c:v>0.89664774552854198</c:v>
                </c:pt>
                <c:pt idx="6">
                  <c:v>0.88469975322182604</c:v>
                </c:pt>
                <c:pt idx="7">
                  <c:v>0.87690064569881299</c:v>
                </c:pt>
                <c:pt idx="8">
                  <c:v>0.87563822027716998</c:v>
                </c:pt>
                <c:pt idx="9">
                  <c:v>0.87735849056603799</c:v>
                </c:pt>
                <c:pt idx="10">
                  <c:v>0.88334742180895998</c:v>
                </c:pt>
                <c:pt idx="11">
                  <c:v>0.86931818181818199</c:v>
                </c:pt>
              </c:numCache>
            </c:numRef>
          </c:val>
          <c:smooth val="0"/>
          <c:extLst>
            <c:ext xmlns:c16="http://schemas.microsoft.com/office/drawing/2014/chart" uri="{C3380CC4-5D6E-409C-BE32-E72D297353CC}">
              <c16:uniqueId val="{00000002-8B5C-48D0-96C5-3FA40663C59C}"/>
            </c:ext>
          </c:extLst>
        </c:ser>
        <c:ser>
          <c:idx val="3"/>
          <c:order val="3"/>
          <c:tx>
            <c:strRef>
              <c:f>'Risk groups - offered'!$F$4</c:f>
              <c:strCache>
                <c:ptCount val="1"/>
                <c:pt idx="0">
                  <c:v>Total (all groups)</c:v>
                </c:pt>
              </c:strCache>
            </c:strRef>
          </c:tx>
          <c:spPr>
            <a:ln>
              <a:solidFill>
                <a:sysClr val="windowText" lastClr="000000"/>
              </a:solidFill>
            </a:ln>
          </c:spPr>
          <c:marker>
            <c:symbol val="x"/>
            <c:size val="5"/>
            <c:spPr>
              <a:solidFill>
                <a:sysClr val="windowText" lastClr="000000"/>
              </a:solidFill>
              <a:ln cap="rnd">
                <a:solidFill>
                  <a:sysClr val="windowText" lastClr="000000"/>
                </a:solidFill>
              </a:ln>
            </c:spPr>
          </c:marker>
          <c:cat>
            <c:strRef>
              <c:f>'Risk groups - offered'!$B$5:$B$16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offered'!$F$5:$F$16</c:f>
              <c:numCache>
                <c:formatCode>0.0%</c:formatCode>
                <c:ptCount val="12"/>
                <c:pt idx="0">
                  <c:v>0.83217909834514603</c:v>
                </c:pt>
                <c:pt idx="1">
                  <c:v>0.87777344679386304</c:v>
                </c:pt>
                <c:pt idx="2">
                  <c:v>0.87974357084960597</c:v>
                </c:pt>
                <c:pt idx="3">
                  <c:v>0.86881347282470001</c:v>
                </c:pt>
                <c:pt idx="4">
                  <c:v>0.854395675119063</c:v>
                </c:pt>
                <c:pt idx="5">
                  <c:v>0.84352466453369002</c:v>
                </c:pt>
                <c:pt idx="6">
                  <c:v>0.83848432167922204</c:v>
                </c:pt>
                <c:pt idx="7">
                  <c:v>0.83559178216039698</c:v>
                </c:pt>
                <c:pt idx="8">
                  <c:v>0.81389429555322701</c:v>
                </c:pt>
                <c:pt idx="9">
                  <c:v>0.79157856026477902</c:v>
                </c:pt>
                <c:pt idx="10">
                  <c:v>0.77119927316777703</c:v>
                </c:pt>
                <c:pt idx="11">
                  <c:v>0.70298286439602298</c:v>
                </c:pt>
              </c:numCache>
            </c:numRef>
          </c:val>
          <c:smooth val="0"/>
          <c:extLst>
            <c:ext xmlns:c16="http://schemas.microsoft.com/office/drawing/2014/chart" uri="{C3380CC4-5D6E-409C-BE32-E72D297353CC}">
              <c16:uniqueId val="{00000003-8B5C-48D0-96C5-3FA40663C59C}"/>
            </c:ext>
          </c:extLst>
        </c:ser>
        <c:dLbls>
          <c:showLegendKey val="0"/>
          <c:showVal val="0"/>
          <c:showCatName val="0"/>
          <c:showSerName val="0"/>
          <c:showPercent val="0"/>
          <c:showBubbleSize val="0"/>
        </c:dLbls>
        <c:marker val="1"/>
        <c:smooth val="0"/>
        <c:axId val="484630368"/>
        <c:axId val="484638432"/>
      </c:lineChart>
      <c:catAx>
        <c:axId val="484630368"/>
        <c:scaling>
          <c:orientation val="minMax"/>
        </c:scaling>
        <c:delete val="0"/>
        <c:axPos val="b"/>
        <c:title>
          <c:tx>
            <c:rich>
              <a:bodyPr/>
              <a:lstStyle/>
              <a:p>
                <a:pPr>
                  <a:defRPr sz="1000" b="1" i="0" u="none" strike="noStrike" baseline="0">
                    <a:solidFill>
                      <a:srgbClr val="000000"/>
                    </a:solidFill>
                    <a:latin typeface="Calibri Light"/>
                    <a:ea typeface="Calibri Light"/>
                    <a:cs typeface="Calibri Light"/>
                  </a:defRPr>
                </a:pPr>
                <a:r>
                  <a:rPr lang="en-US" b="0" i="0"/>
                  <a:t>AGE GROUP (YEARS)</a:t>
                </a:r>
              </a:p>
            </c:rich>
          </c:tx>
          <c:layout/>
          <c:overlay val="0"/>
          <c:spPr>
            <a:noFill/>
            <a:ln w="25394">
              <a:noFill/>
            </a:ln>
          </c:spPr>
        </c:title>
        <c:numFmt formatCode="General" sourceLinked="0"/>
        <c:majorTickMark val="none"/>
        <c:minorTickMark val="none"/>
        <c:tickLblPos val="nextTo"/>
        <c:spPr>
          <a:ln w="3174">
            <a:solidFill>
              <a:srgbClr val="C0C0C0"/>
            </a:solidFill>
            <a:prstDash val="solid"/>
          </a:ln>
        </c:spPr>
        <c:txPr>
          <a:bodyPr rot="-60000000" vert="horz"/>
          <a:lstStyle/>
          <a:p>
            <a:pPr>
              <a:defRPr>
                <a:latin typeface="+mn-lt"/>
              </a:defRPr>
            </a:pPr>
            <a:endParaRPr lang="en-US"/>
          </a:p>
        </c:txPr>
        <c:crossAx val="484638432"/>
        <c:crosses val="autoZero"/>
        <c:auto val="1"/>
        <c:lblAlgn val="ctr"/>
        <c:lblOffset val="100"/>
        <c:noMultiLvlLbl val="0"/>
      </c:catAx>
      <c:valAx>
        <c:axId val="484638432"/>
        <c:scaling>
          <c:orientation val="minMax"/>
          <c:min val="0.3"/>
        </c:scaling>
        <c:delete val="0"/>
        <c:axPos val="l"/>
        <c:majorGridlines>
          <c:spPr>
            <a:ln w="3174">
              <a:solidFill>
                <a:srgbClr val="808080"/>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b="0" i="0"/>
                  <a:t>% OF ATTENDEES OFFERED HIV TESTING</a:t>
                </a:r>
              </a:p>
            </c:rich>
          </c:tx>
          <c:layout/>
          <c:overlay val="0"/>
          <c:spPr>
            <a:noFill/>
            <a:ln w="25394">
              <a:noFill/>
            </a:ln>
          </c:spPr>
        </c:title>
        <c:numFmt formatCode="0%" sourceLinked="0"/>
        <c:majorTickMark val="none"/>
        <c:minorTickMark val="none"/>
        <c:tickLblPos val="nextTo"/>
        <c:spPr>
          <a:ln w="3174">
            <a:solidFill>
              <a:srgbClr val="C0C0C0"/>
            </a:solidFill>
            <a:prstDash val="solid"/>
          </a:ln>
        </c:spPr>
        <c:txPr>
          <a:bodyPr rot="-60000000" vert="horz"/>
          <a:lstStyle/>
          <a:p>
            <a:pPr>
              <a:defRPr sz="1000">
                <a:latin typeface="+mn-lt"/>
              </a:defRPr>
            </a:pPr>
            <a:endParaRPr lang="en-US"/>
          </a:p>
        </c:txPr>
        <c:crossAx val="484630368"/>
        <c:crosses val="autoZero"/>
        <c:crossBetween val="between"/>
        <c:majorUnit val="0.1"/>
      </c:valAx>
      <c:spPr>
        <a:noFill/>
        <a:ln w="25394">
          <a:noFill/>
        </a:ln>
      </c:spPr>
    </c:plotArea>
    <c:legend>
      <c:legendPos val="t"/>
      <c:layout>
        <c:manualLayout>
          <c:xMode val="edge"/>
          <c:yMode val="edge"/>
          <c:x val="3.9701920742482799E-2"/>
          <c:y val="1.96362099783788E-2"/>
          <c:w val="0.91849065435698696"/>
          <c:h val="7.5097494568617099E-2"/>
        </c:manualLayout>
      </c:layout>
      <c:overlay val="0"/>
      <c:spPr>
        <a:noFill/>
        <a:ln w="25394">
          <a:noFill/>
        </a:ln>
      </c:spPr>
      <c:txPr>
        <a:bodyPr rot="0" vert="horz"/>
        <a:lstStyle/>
        <a:p>
          <a:pPr>
            <a:defRPr sz="900"/>
          </a:pPr>
          <a:endParaRPr lang="en-US"/>
        </a:p>
      </c:txPr>
    </c:legend>
    <c:plotVisOnly val="1"/>
    <c:dispBlanksAs val="gap"/>
    <c:showDLblsOverMax val="0"/>
  </c:chart>
  <c:spPr>
    <a:solidFill>
      <a:srgbClr val="FFFFFF"/>
    </a:solidFill>
    <a:ln w="3174">
      <a:solidFill>
        <a:srgbClr val="C0C0C0"/>
      </a:solidFill>
      <a:prstDash val="solid"/>
    </a:ln>
  </c:spPr>
  <c:txPr>
    <a:bodyPr/>
    <a:lstStyle/>
    <a:p>
      <a:pPr>
        <a:defRPr>
          <a:latin typeface="+mj-l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69629442129201"/>
          <c:y val="0.14510525339491001"/>
          <c:w val="0.82905719735664496"/>
          <c:h val="0.730375534902166"/>
        </c:manualLayout>
      </c:layout>
      <c:lineChart>
        <c:grouping val="standard"/>
        <c:varyColors val="0"/>
        <c:ser>
          <c:idx val="0"/>
          <c:order val="0"/>
          <c:tx>
            <c:strRef>
              <c:f>'Risk groups - accepted'!$C$3</c:f>
              <c:strCache>
                <c:ptCount val="1"/>
                <c:pt idx="0">
                  <c:v>Heterosexual females</c:v>
                </c:pt>
              </c:strCache>
            </c:strRef>
          </c:tx>
          <c:cat>
            <c:strRef>
              <c:f>'Risk groups - accepted'!$B$4:$B$15</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accepted'!$C$4:$C$15</c:f>
              <c:numCache>
                <c:formatCode>0.0%</c:formatCode>
                <c:ptCount val="12"/>
                <c:pt idx="0">
                  <c:v>0.66116665234371297</c:v>
                </c:pt>
                <c:pt idx="1">
                  <c:v>0.76376735159934295</c:v>
                </c:pt>
                <c:pt idx="2">
                  <c:v>0.78398435541292699</c:v>
                </c:pt>
                <c:pt idx="3">
                  <c:v>0.77723328354708499</c:v>
                </c:pt>
                <c:pt idx="4">
                  <c:v>0.75916161924266901</c:v>
                </c:pt>
                <c:pt idx="5">
                  <c:v>0.74595340282035605</c:v>
                </c:pt>
                <c:pt idx="6">
                  <c:v>0.74704572700804905</c:v>
                </c:pt>
                <c:pt idx="7">
                  <c:v>0.77064082337915996</c:v>
                </c:pt>
                <c:pt idx="8">
                  <c:v>0.77454096045197696</c:v>
                </c:pt>
                <c:pt idx="9">
                  <c:v>0.74222035323801505</c:v>
                </c:pt>
                <c:pt idx="10">
                  <c:v>0.75557537912578099</c:v>
                </c:pt>
                <c:pt idx="11">
                  <c:v>0.71612903225806501</c:v>
                </c:pt>
              </c:numCache>
            </c:numRef>
          </c:val>
          <c:smooth val="0"/>
          <c:extLst>
            <c:ext xmlns:c16="http://schemas.microsoft.com/office/drawing/2014/chart" uri="{C3380CC4-5D6E-409C-BE32-E72D297353CC}">
              <c16:uniqueId val="{00000000-9815-4275-BDB8-E0EBC6C3D854}"/>
            </c:ext>
          </c:extLst>
        </c:ser>
        <c:ser>
          <c:idx val="1"/>
          <c:order val="1"/>
          <c:tx>
            <c:strRef>
              <c:f>'Risk groups - accepted'!$D$3</c:f>
              <c:strCache>
                <c:ptCount val="1"/>
                <c:pt idx="0">
                  <c:v>Heterosexual males</c:v>
                </c:pt>
              </c:strCache>
            </c:strRef>
          </c:tx>
          <c:spPr>
            <a:ln>
              <a:solidFill>
                <a:srgbClr val="FF0000"/>
              </a:solidFill>
            </a:ln>
          </c:spPr>
          <c:marker>
            <c:spPr>
              <a:solidFill>
                <a:srgbClr val="FF0000"/>
              </a:solidFill>
              <a:ln>
                <a:solidFill>
                  <a:srgbClr val="FF0000"/>
                </a:solidFill>
              </a:ln>
            </c:spPr>
          </c:marker>
          <c:cat>
            <c:strRef>
              <c:f>'Risk groups - accepted'!$B$4:$B$15</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accepted'!$D$4:$D$15</c:f>
              <c:numCache>
                <c:formatCode>0.0%</c:formatCode>
                <c:ptCount val="12"/>
                <c:pt idx="0">
                  <c:v>0.79844843322178305</c:v>
                </c:pt>
                <c:pt idx="1">
                  <c:v>0.84603737139770296</c:v>
                </c:pt>
                <c:pt idx="2">
                  <c:v>0.85671833891696503</c:v>
                </c:pt>
                <c:pt idx="3">
                  <c:v>0.85758431534901602</c:v>
                </c:pt>
                <c:pt idx="4">
                  <c:v>0.84971639825787504</c:v>
                </c:pt>
                <c:pt idx="5">
                  <c:v>0.83485565459814404</c:v>
                </c:pt>
                <c:pt idx="6">
                  <c:v>0.83503144347487002</c:v>
                </c:pt>
                <c:pt idx="7">
                  <c:v>0.83618705035971197</c:v>
                </c:pt>
                <c:pt idx="8">
                  <c:v>0.84164298630844803</c:v>
                </c:pt>
                <c:pt idx="9">
                  <c:v>0.83698846936468496</c:v>
                </c:pt>
                <c:pt idx="10">
                  <c:v>0.81292395573009602</c:v>
                </c:pt>
                <c:pt idx="11">
                  <c:v>0.78815860945138505</c:v>
                </c:pt>
              </c:numCache>
            </c:numRef>
          </c:val>
          <c:smooth val="0"/>
          <c:extLst>
            <c:ext xmlns:c16="http://schemas.microsoft.com/office/drawing/2014/chart" uri="{C3380CC4-5D6E-409C-BE32-E72D297353CC}">
              <c16:uniqueId val="{00000001-9815-4275-BDB8-E0EBC6C3D854}"/>
            </c:ext>
          </c:extLst>
        </c:ser>
        <c:ser>
          <c:idx val="2"/>
          <c:order val="2"/>
          <c:tx>
            <c:strRef>
              <c:f>'Risk groups - accepted'!$E$3</c:f>
              <c:strCache>
                <c:ptCount val="1"/>
                <c:pt idx="0">
                  <c:v>MSM</c:v>
                </c:pt>
              </c:strCache>
            </c:strRef>
          </c:tx>
          <c:spPr>
            <a:ln>
              <a:solidFill>
                <a:schemeClr val="accent6"/>
              </a:solidFill>
            </a:ln>
          </c:spPr>
          <c:marker>
            <c:spPr>
              <a:solidFill>
                <a:schemeClr val="accent6"/>
              </a:solidFill>
              <a:ln>
                <a:solidFill>
                  <a:srgbClr val="70AD47"/>
                </a:solidFill>
              </a:ln>
            </c:spPr>
          </c:marker>
          <c:cat>
            <c:strRef>
              <c:f>'Risk groups - accepted'!$B$4:$B$15</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accepted'!$E$4:$E$15</c:f>
              <c:numCache>
                <c:formatCode>0.0%</c:formatCode>
                <c:ptCount val="12"/>
                <c:pt idx="0">
                  <c:v>0.954827280779451</c:v>
                </c:pt>
                <c:pt idx="1">
                  <c:v>0.96669750231267404</c:v>
                </c:pt>
                <c:pt idx="2">
                  <c:v>0.96489596083231299</c:v>
                </c:pt>
                <c:pt idx="3">
                  <c:v>0.96009802689455803</c:v>
                </c:pt>
                <c:pt idx="4">
                  <c:v>0.95328671328671299</c:v>
                </c:pt>
                <c:pt idx="5">
                  <c:v>0.94756330625895802</c:v>
                </c:pt>
                <c:pt idx="6">
                  <c:v>0.93475902680923595</c:v>
                </c:pt>
                <c:pt idx="7">
                  <c:v>0.93824228028503598</c:v>
                </c:pt>
                <c:pt idx="8">
                  <c:v>0.93752603082049202</c:v>
                </c:pt>
                <c:pt idx="9">
                  <c:v>0.93674889310563003</c:v>
                </c:pt>
                <c:pt idx="10">
                  <c:v>0.95789473684210502</c:v>
                </c:pt>
                <c:pt idx="11">
                  <c:v>0.92941176470588205</c:v>
                </c:pt>
              </c:numCache>
            </c:numRef>
          </c:val>
          <c:smooth val="0"/>
          <c:extLst>
            <c:ext xmlns:c16="http://schemas.microsoft.com/office/drawing/2014/chart" uri="{C3380CC4-5D6E-409C-BE32-E72D297353CC}">
              <c16:uniqueId val="{00000002-9815-4275-BDB8-E0EBC6C3D854}"/>
            </c:ext>
          </c:extLst>
        </c:ser>
        <c:ser>
          <c:idx val="3"/>
          <c:order val="3"/>
          <c:tx>
            <c:strRef>
              <c:f>'Risk groups - accepted'!$F$3</c:f>
              <c:strCache>
                <c:ptCount val="1"/>
                <c:pt idx="0">
                  <c:v>Total (all groups)</c:v>
                </c:pt>
              </c:strCache>
            </c:strRef>
          </c:tx>
          <c:spPr>
            <a:ln>
              <a:solidFill>
                <a:sysClr val="windowText" lastClr="000000"/>
              </a:solidFill>
            </a:ln>
          </c:spPr>
          <c:marker>
            <c:symbol val="square"/>
            <c:size val="5"/>
            <c:spPr>
              <a:solidFill>
                <a:sysClr val="windowText" lastClr="000000"/>
              </a:solidFill>
              <a:ln>
                <a:solidFill>
                  <a:sysClr val="windowText" lastClr="000000"/>
                </a:solidFill>
              </a:ln>
            </c:spPr>
          </c:marker>
          <c:cat>
            <c:strRef>
              <c:f>'Risk groups - accepted'!$B$4:$B$15</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accepted'!$F$4:$F$15</c:f>
              <c:numCache>
                <c:formatCode>0.0%</c:formatCode>
                <c:ptCount val="12"/>
                <c:pt idx="0">
                  <c:v>0.70438968615400599</c:v>
                </c:pt>
                <c:pt idx="1">
                  <c:v>0.80394814242378798</c:v>
                </c:pt>
                <c:pt idx="2">
                  <c:v>0.82593036340528103</c:v>
                </c:pt>
                <c:pt idx="3">
                  <c:v>0.82686614506238099</c:v>
                </c:pt>
                <c:pt idx="4">
                  <c:v>0.81637490333142504</c:v>
                </c:pt>
                <c:pt idx="5">
                  <c:v>0.80429398361096505</c:v>
                </c:pt>
                <c:pt idx="6">
                  <c:v>0.80554808984449999</c:v>
                </c:pt>
                <c:pt idx="7">
                  <c:v>0.82093731729082697</c:v>
                </c:pt>
                <c:pt idx="8">
                  <c:v>0.83051263183713497</c:v>
                </c:pt>
                <c:pt idx="9">
                  <c:v>0.82775842044134695</c:v>
                </c:pt>
                <c:pt idx="10">
                  <c:v>0.83055173767916801</c:v>
                </c:pt>
                <c:pt idx="11">
                  <c:v>0.80710201625037603</c:v>
                </c:pt>
              </c:numCache>
            </c:numRef>
          </c:val>
          <c:smooth val="0"/>
          <c:extLst>
            <c:ext xmlns:c16="http://schemas.microsoft.com/office/drawing/2014/chart" uri="{C3380CC4-5D6E-409C-BE32-E72D297353CC}">
              <c16:uniqueId val="{00000003-9815-4275-BDB8-E0EBC6C3D854}"/>
            </c:ext>
          </c:extLst>
        </c:ser>
        <c:dLbls>
          <c:showLegendKey val="0"/>
          <c:showVal val="0"/>
          <c:showCatName val="0"/>
          <c:showSerName val="0"/>
          <c:showPercent val="0"/>
          <c:showBubbleSize val="0"/>
        </c:dLbls>
        <c:marker val="1"/>
        <c:smooth val="0"/>
        <c:axId val="484706032"/>
        <c:axId val="484713376"/>
      </c:lineChart>
      <c:catAx>
        <c:axId val="484706032"/>
        <c:scaling>
          <c:orientation val="minMax"/>
        </c:scaling>
        <c:delete val="0"/>
        <c:axPos val="b"/>
        <c:title>
          <c:tx>
            <c:rich>
              <a:bodyPr/>
              <a:lstStyle/>
              <a:p>
                <a:pPr>
                  <a:defRPr b="0"/>
                </a:pPr>
                <a:r>
                  <a:rPr lang="en-US" b="0"/>
                  <a:t>AGE GROUP (YEARS)</a:t>
                </a:r>
              </a:p>
            </c:rich>
          </c:tx>
          <c:layout/>
          <c:overlay val="0"/>
        </c:title>
        <c:numFmt formatCode="General" sourceLinked="0"/>
        <c:majorTickMark val="none"/>
        <c:minorTickMark val="none"/>
        <c:tickLblPos val="nextTo"/>
        <c:txPr>
          <a:bodyPr rot="-60000000" vert="horz"/>
          <a:lstStyle/>
          <a:p>
            <a:pPr>
              <a:defRPr/>
            </a:pPr>
            <a:endParaRPr lang="en-US"/>
          </a:p>
        </c:txPr>
        <c:crossAx val="484713376"/>
        <c:crosses val="autoZero"/>
        <c:auto val="1"/>
        <c:lblAlgn val="ctr"/>
        <c:lblOffset val="100"/>
        <c:noMultiLvlLbl val="0"/>
      </c:catAx>
      <c:valAx>
        <c:axId val="484713376"/>
        <c:scaling>
          <c:orientation val="minMax"/>
          <c:max val="1"/>
          <c:min val="0.30000000000000004"/>
        </c:scaling>
        <c:delete val="0"/>
        <c:axPos val="l"/>
        <c:majorGridlines/>
        <c:title>
          <c:tx>
            <c:rich>
              <a:bodyPr/>
              <a:lstStyle/>
              <a:p>
                <a:pPr>
                  <a:defRPr b="0"/>
                </a:pPr>
                <a:r>
                  <a:rPr lang="en-US" b="0"/>
                  <a:t>% OF ATTENDEES ACCEPTING HIV TEST</a:t>
                </a:r>
              </a:p>
            </c:rich>
          </c:tx>
          <c:layout/>
          <c:overlay val="0"/>
        </c:title>
        <c:numFmt formatCode="0%" sourceLinked="0"/>
        <c:majorTickMark val="none"/>
        <c:minorTickMark val="none"/>
        <c:tickLblPos val="nextTo"/>
        <c:txPr>
          <a:bodyPr rot="-60000000" vert="horz"/>
          <a:lstStyle/>
          <a:p>
            <a:pPr>
              <a:defRPr/>
            </a:pPr>
            <a:endParaRPr lang="en-US"/>
          </a:p>
        </c:txPr>
        <c:crossAx val="484706032"/>
        <c:crosses val="autoZero"/>
        <c:crossBetween val="between"/>
      </c:valAx>
    </c:plotArea>
    <c:legend>
      <c:legendPos val="t"/>
      <c:layout/>
      <c:overlay val="0"/>
      <c:txPr>
        <a:bodyPr rot="0" vert="horz"/>
        <a:lstStyle/>
        <a:p>
          <a:pPr>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96547243646401"/>
          <c:y val="0.10732926031731201"/>
          <c:w val="0.83907249334050105"/>
          <c:h val="0.77966107576473298"/>
        </c:manualLayout>
      </c:layout>
      <c:lineChart>
        <c:grouping val="standard"/>
        <c:varyColors val="0"/>
        <c:ser>
          <c:idx val="0"/>
          <c:order val="0"/>
          <c:tx>
            <c:strRef>
              <c:f>'Risk groups - performed'!$C$4</c:f>
              <c:strCache>
                <c:ptCount val="1"/>
                <c:pt idx="0">
                  <c:v>Heterosexual females</c:v>
                </c:pt>
              </c:strCache>
            </c:strRef>
          </c:tx>
          <c:spPr>
            <a:ln w="19050">
              <a:solidFill>
                <a:srgbClr val="5B9BD5"/>
              </a:solidFill>
            </a:ln>
          </c:spPr>
          <c:marker>
            <c:symbol val="circle"/>
            <c:size val="5"/>
            <c:spPr>
              <a:solidFill>
                <a:schemeClr val="accent5"/>
              </a:solidFill>
              <a:ln w="3175"/>
            </c:spPr>
          </c:marker>
          <c:cat>
            <c:strRef>
              <c:f>'Risk groups - performed'!$B$5:$B$16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performed'!$C$5:$C$16</c:f>
              <c:numCache>
                <c:formatCode>0.0%</c:formatCode>
                <c:ptCount val="12"/>
                <c:pt idx="0">
                  <c:v>0.554801490324907</c:v>
                </c:pt>
                <c:pt idx="1">
                  <c:v>0.66449716004009396</c:v>
                </c:pt>
                <c:pt idx="2">
                  <c:v>0.67594942963196303</c:v>
                </c:pt>
                <c:pt idx="3">
                  <c:v>0.66052639860689999</c:v>
                </c:pt>
                <c:pt idx="4">
                  <c:v>0.63248080448712196</c:v>
                </c:pt>
                <c:pt idx="5">
                  <c:v>0.61771425670186897</c:v>
                </c:pt>
                <c:pt idx="6">
                  <c:v>0.61745346450562699</c:v>
                </c:pt>
                <c:pt idx="7">
                  <c:v>0.63505231226397596</c:v>
                </c:pt>
                <c:pt idx="8">
                  <c:v>0.60476978218913702</c:v>
                </c:pt>
                <c:pt idx="9">
                  <c:v>0.52987090963674599</c:v>
                </c:pt>
                <c:pt idx="10">
                  <c:v>0.49941037735849098</c:v>
                </c:pt>
                <c:pt idx="11">
                  <c:v>0.37342304457527298</c:v>
                </c:pt>
              </c:numCache>
            </c:numRef>
          </c:val>
          <c:smooth val="0"/>
          <c:extLst>
            <c:ext xmlns:c16="http://schemas.microsoft.com/office/drawing/2014/chart" uri="{C3380CC4-5D6E-409C-BE32-E72D297353CC}">
              <c16:uniqueId val="{00000000-3C1A-42D7-B2C6-D3C7B9815112}"/>
            </c:ext>
          </c:extLst>
        </c:ser>
        <c:ser>
          <c:idx val="1"/>
          <c:order val="1"/>
          <c:tx>
            <c:strRef>
              <c:f>'Risk groups - performed'!$D$4</c:f>
              <c:strCache>
                <c:ptCount val="1"/>
                <c:pt idx="0">
                  <c:v>Heterosexual males</c:v>
                </c:pt>
              </c:strCache>
            </c:strRef>
          </c:tx>
          <c:spPr>
            <a:ln w="19050">
              <a:solidFill>
                <a:srgbClr val="C00000"/>
              </a:solidFill>
            </a:ln>
          </c:spPr>
          <c:marker>
            <c:symbol val="square"/>
            <c:size val="5"/>
            <c:spPr>
              <a:solidFill>
                <a:srgbClr val="C00000"/>
              </a:solidFill>
              <a:ln w="6350">
                <a:solidFill>
                  <a:srgbClr val="C00000"/>
                </a:solidFill>
              </a:ln>
            </c:spPr>
          </c:marker>
          <c:cat>
            <c:strRef>
              <c:f>'Risk groups - performed'!$B$5:$B$16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performed'!$D$5:$D$16</c:f>
              <c:numCache>
                <c:formatCode>0.0%</c:formatCode>
                <c:ptCount val="12"/>
                <c:pt idx="0">
                  <c:v>0.72098347145277297</c:v>
                </c:pt>
                <c:pt idx="1">
                  <c:v>0.78369055110349595</c:v>
                </c:pt>
                <c:pt idx="2">
                  <c:v>0.79403896251984596</c:v>
                </c:pt>
                <c:pt idx="3">
                  <c:v>0.78620904667019198</c:v>
                </c:pt>
                <c:pt idx="4">
                  <c:v>0.77092905715861104</c:v>
                </c:pt>
                <c:pt idx="5">
                  <c:v>0.74539023351783396</c:v>
                </c:pt>
                <c:pt idx="6">
                  <c:v>0.73889224398240005</c:v>
                </c:pt>
                <c:pt idx="7">
                  <c:v>0.72958383026803098</c:v>
                </c:pt>
                <c:pt idx="8">
                  <c:v>0.72031837276144095</c:v>
                </c:pt>
                <c:pt idx="9">
                  <c:v>0.70420391858474396</c:v>
                </c:pt>
                <c:pt idx="10">
                  <c:v>0.65885416666666696</c:v>
                </c:pt>
                <c:pt idx="11">
                  <c:v>0.59835051546391804</c:v>
                </c:pt>
              </c:numCache>
            </c:numRef>
          </c:val>
          <c:smooth val="0"/>
          <c:extLst>
            <c:ext xmlns:c16="http://schemas.microsoft.com/office/drawing/2014/chart" uri="{C3380CC4-5D6E-409C-BE32-E72D297353CC}">
              <c16:uniqueId val="{00000001-3C1A-42D7-B2C6-D3C7B9815112}"/>
            </c:ext>
          </c:extLst>
        </c:ser>
        <c:ser>
          <c:idx val="2"/>
          <c:order val="2"/>
          <c:tx>
            <c:strRef>
              <c:f>'Risk groups - performed'!$E$4</c:f>
              <c:strCache>
                <c:ptCount val="1"/>
                <c:pt idx="0">
                  <c:v>MSM</c:v>
                </c:pt>
              </c:strCache>
            </c:strRef>
          </c:tx>
          <c:spPr>
            <a:ln w="19050">
              <a:solidFill>
                <a:srgbClr val="70AD47">
                  <a:lumMod val="75000"/>
                </a:srgbClr>
              </a:solidFill>
            </a:ln>
          </c:spPr>
          <c:marker>
            <c:symbol val="triangle"/>
            <c:size val="5"/>
            <c:spPr>
              <a:solidFill>
                <a:schemeClr val="accent6">
                  <a:lumMod val="75000"/>
                </a:schemeClr>
              </a:solidFill>
              <a:ln w="6350">
                <a:solidFill>
                  <a:srgbClr val="70AD47">
                    <a:lumMod val="75000"/>
                  </a:srgbClr>
                </a:solidFill>
              </a:ln>
            </c:spPr>
          </c:marker>
          <c:cat>
            <c:strRef>
              <c:f>'Risk groups - performed'!$B$5:$B$16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performed'!$E$5:$E$16</c:f>
              <c:numCache>
                <c:formatCode>0.0%</c:formatCode>
                <c:ptCount val="12"/>
                <c:pt idx="0">
                  <c:v>0.87535525781567203</c:v>
                </c:pt>
                <c:pt idx="1">
                  <c:v>0.89563902193093003</c:v>
                </c:pt>
                <c:pt idx="2">
                  <c:v>0.89524847824111997</c:v>
                </c:pt>
                <c:pt idx="3">
                  <c:v>0.88124351136232604</c:v>
                </c:pt>
                <c:pt idx="4">
                  <c:v>0.86761710794297298</c:v>
                </c:pt>
                <c:pt idx="5">
                  <c:v>0.84963050230266701</c:v>
                </c:pt>
                <c:pt idx="6">
                  <c:v>0.82698108034000595</c:v>
                </c:pt>
                <c:pt idx="7">
                  <c:v>0.82274526140387605</c:v>
                </c:pt>
                <c:pt idx="8">
                  <c:v>0.82093362509117496</c:v>
                </c:pt>
                <c:pt idx="9">
                  <c:v>0.82186459489456098</c:v>
                </c:pt>
                <c:pt idx="10">
                  <c:v>0.84615384615384703</c:v>
                </c:pt>
                <c:pt idx="11">
                  <c:v>0.80795454545454604</c:v>
                </c:pt>
              </c:numCache>
            </c:numRef>
          </c:val>
          <c:smooth val="0"/>
          <c:extLst>
            <c:ext xmlns:c16="http://schemas.microsoft.com/office/drawing/2014/chart" uri="{C3380CC4-5D6E-409C-BE32-E72D297353CC}">
              <c16:uniqueId val="{00000002-3C1A-42D7-B2C6-D3C7B9815112}"/>
            </c:ext>
          </c:extLst>
        </c:ser>
        <c:ser>
          <c:idx val="3"/>
          <c:order val="3"/>
          <c:tx>
            <c:strRef>
              <c:f>'Risk groups - performed'!$F$4</c:f>
              <c:strCache>
                <c:ptCount val="1"/>
                <c:pt idx="0">
                  <c:v>Total (all sexual risk groups)</c:v>
                </c:pt>
              </c:strCache>
            </c:strRef>
          </c:tx>
          <c:spPr>
            <a:ln w="19050">
              <a:solidFill>
                <a:sysClr val="windowText" lastClr="000000"/>
              </a:solidFill>
            </a:ln>
          </c:spPr>
          <c:marker>
            <c:symbol val="diamond"/>
            <c:size val="5"/>
            <c:spPr>
              <a:solidFill>
                <a:schemeClr val="tx1"/>
              </a:solidFill>
              <a:ln>
                <a:noFill/>
              </a:ln>
            </c:spPr>
          </c:marker>
          <c:cat>
            <c:strRef>
              <c:f>'Risk groups - performed'!$B$5:$B$16</c:f>
              <c:strCache>
                <c:ptCount val="12"/>
                <c:pt idx="0">
                  <c:v>15-19</c:v>
                </c:pt>
                <c:pt idx="1">
                  <c:v>20-24</c:v>
                </c:pt>
                <c:pt idx="2">
                  <c:v>25-29</c:v>
                </c:pt>
                <c:pt idx="3">
                  <c:v>30-34</c:v>
                </c:pt>
                <c:pt idx="4">
                  <c:v>35-39</c:v>
                </c:pt>
                <c:pt idx="5">
                  <c:v>40-44</c:v>
                </c:pt>
                <c:pt idx="6">
                  <c:v>45-49</c:v>
                </c:pt>
                <c:pt idx="7">
                  <c:v>50-54</c:v>
                </c:pt>
                <c:pt idx="8">
                  <c:v>55-59</c:v>
                </c:pt>
                <c:pt idx="9">
                  <c:v>60-64</c:v>
                </c:pt>
                <c:pt idx="10">
                  <c:v>65-69</c:v>
                </c:pt>
                <c:pt idx="11">
                  <c:v>70+</c:v>
                </c:pt>
              </c:strCache>
            </c:strRef>
          </c:cat>
          <c:val>
            <c:numRef>
              <c:f>'Risk groups - performed'!$F$5:$F$16</c:f>
              <c:numCache>
                <c:formatCode>0.0%</c:formatCode>
                <c:ptCount val="12"/>
                <c:pt idx="0">
                  <c:v>0.58617837390726102</c:v>
                </c:pt>
                <c:pt idx="1">
                  <c:v>0.70568433201885195</c:v>
                </c:pt>
                <c:pt idx="2">
                  <c:v>0.72660692717527497</c:v>
                </c:pt>
                <c:pt idx="3">
                  <c:v>0.71839244705282002</c:v>
                </c:pt>
                <c:pt idx="4">
                  <c:v>0.69750718668211298</c:v>
                </c:pt>
                <c:pt idx="5">
                  <c:v>0.67844181271190496</c:v>
                </c:pt>
                <c:pt idx="6">
                  <c:v>0.67543944369325903</c:v>
                </c:pt>
                <c:pt idx="7">
                  <c:v>0.68596847599701705</c:v>
                </c:pt>
                <c:pt idx="8">
                  <c:v>0.67594949343714195</c:v>
                </c:pt>
                <c:pt idx="9">
                  <c:v>0.65523581870001002</c:v>
                </c:pt>
                <c:pt idx="10">
                  <c:v>0.64052089642640897</c:v>
                </c:pt>
                <c:pt idx="11">
                  <c:v>0.56737888724349494</c:v>
                </c:pt>
              </c:numCache>
            </c:numRef>
          </c:val>
          <c:smooth val="0"/>
          <c:extLst>
            <c:ext xmlns:c16="http://schemas.microsoft.com/office/drawing/2014/chart" uri="{C3380CC4-5D6E-409C-BE32-E72D297353CC}">
              <c16:uniqueId val="{00000003-3C1A-42D7-B2C6-D3C7B9815112}"/>
            </c:ext>
          </c:extLst>
        </c:ser>
        <c:dLbls>
          <c:showLegendKey val="0"/>
          <c:showVal val="0"/>
          <c:showCatName val="0"/>
          <c:showSerName val="0"/>
          <c:showPercent val="0"/>
          <c:showBubbleSize val="0"/>
        </c:dLbls>
        <c:marker val="1"/>
        <c:smooth val="0"/>
        <c:axId val="484802256"/>
        <c:axId val="484809456"/>
      </c:lineChart>
      <c:catAx>
        <c:axId val="484802256"/>
        <c:scaling>
          <c:orientation val="minMax"/>
        </c:scaling>
        <c:delete val="0"/>
        <c:axPos val="b"/>
        <c:title>
          <c:tx>
            <c:rich>
              <a:bodyPr/>
              <a:lstStyle/>
              <a:p>
                <a:pPr>
                  <a:defRPr/>
                </a:pPr>
                <a:r>
                  <a:rPr lang="en-GB" b="0"/>
                  <a:t>AGE GROUP (YEARS)</a:t>
                </a:r>
              </a:p>
            </c:rich>
          </c:tx>
          <c:layout/>
          <c:overlay val="0"/>
        </c:title>
        <c:numFmt formatCode="General" sourceLinked="0"/>
        <c:majorTickMark val="out"/>
        <c:minorTickMark val="none"/>
        <c:tickLblPos val="nextTo"/>
        <c:crossAx val="484809456"/>
        <c:crosses val="autoZero"/>
        <c:auto val="1"/>
        <c:lblAlgn val="ctr"/>
        <c:lblOffset val="100"/>
        <c:noMultiLvlLbl val="0"/>
      </c:catAx>
      <c:valAx>
        <c:axId val="484809456"/>
        <c:scaling>
          <c:orientation val="minMax"/>
          <c:min val="0.3"/>
        </c:scaling>
        <c:delete val="0"/>
        <c:axPos val="l"/>
        <c:majorGridlines/>
        <c:title>
          <c:tx>
            <c:rich>
              <a:bodyPr rot="-5400000" vert="horz"/>
              <a:lstStyle/>
              <a:p>
                <a:pPr>
                  <a:defRPr b="0"/>
                </a:pPr>
                <a:r>
                  <a:rPr lang="en-GB" b="0"/>
                  <a:t>TEST</a:t>
                </a:r>
                <a:r>
                  <a:rPr lang="en-GB" b="0" baseline="0"/>
                  <a:t> COVERAGE (%)</a:t>
                </a:r>
                <a:endParaRPr lang="en-GB" b="0"/>
              </a:p>
            </c:rich>
          </c:tx>
          <c:layout/>
          <c:overlay val="0"/>
        </c:title>
        <c:numFmt formatCode="0%" sourceLinked="0"/>
        <c:majorTickMark val="out"/>
        <c:minorTickMark val="none"/>
        <c:tickLblPos val="nextTo"/>
        <c:crossAx val="484802256"/>
        <c:crosses val="autoZero"/>
        <c:crossBetween val="between"/>
        <c:majorUnit val="0.1"/>
        <c:minorUnit val="0.02"/>
      </c:valAx>
    </c:plotArea>
    <c:legend>
      <c:legendPos val="t"/>
      <c:layout>
        <c:manualLayout>
          <c:xMode val="edge"/>
          <c:yMode val="edge"/>
          <c:x val="0.104550655988759"/>
          <c:y val="1.6934801016088099E-2"/>
          <c:w val="0.80910722622628795"/>
          <c:h val="7.5263411717904502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72B880-023C-41E6-9CE8-9508F986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Bell</dc:creator>
  <cp:keywords/>
  <dc:description/>
  <cp:lastModifiedBy>Sadie Bell</cp:lastModifiedBy>
  <cp:revision>22</cp:revision>
  <dcterms:created xsi:type="dcterms:W3CDTF">2018-11-02T13:16:00Z</dcterms:created>
  <dcterms:modified xsi:type="dcterms:W3CDTF">2018-11-02T15:20:00Z</dcterms:modified>
</cp:coreProperties>
</file>