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E" w:rsidRPr="00291F4D" w:rsidRDefault="004D536E" w:rsidP="004D536E">
      <w:pPr>
        <w:rPr>
          <w:b/>
        </w:rPr>
      </w:pPr>
      <w:r w:rsidRPr="00291F4D">
        <w:rPr>
          <w:b/>
        </w:rPr>
        <w:t>Table 1: Frequency tables to summarise data source, outcome and exposure definitions for 46 studies. *Studies may have multiple outcomes therefore column percentages will not sum to 1. **Based on whether clear description given in methods.</w:t>
      </w:r>
    </w:p>
    <w:tbl>
      <w:tblPr>
        <w:tblStyle w:val="GridTable7Colorful"/>
        <w:tblW w:w="10070" w:type="dxa"/>
        <w:tblInd w:w="-714" w:type="dxa"/>
        <w:tblLook w:val="04A0" w:firstRow="1" w:lastRow="0" w:firstColumn="1" w:lastColumn="0" w:noHBand="0" w:noVBand="1"/>
      </w:tblPr>
      <w:tblGrid>
        <w:gridCol w:w="5109"/>
        <w:gridCol w:w="1984"/>
        <w:gridCol w:w="1667"/>
        <w:gridCol w:w="1310"/>
      </w:tblGrid>
      <w:tr w:rsidR="004D536E" w:rsidRPr="003C644C" w:rsidTr="0079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79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Case Control N (%)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79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Cohort N (%)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794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Total N (%)</w:t>
            </w:r>
          </w:p>
        </w:tc>
      </w:tr>
      <w:tr w:rsidR="004D536E" w:rsidRPr="003C644C" w:rsidTr="0029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CE64C9" w:rsidRDefault="004D536E" w:rsidP="00D60554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CE64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Source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Clinical 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  (4)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  (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Diabetes Registry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4  (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3C644C">
              <w:rPr>
                <w:rFonts w:ascii="Calibri" w:hAnsi="Calibri" w:cs="Calibri"/>
                <w:color w:val="000000"/>
              </w:rPr>
              <w:t>7)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6  (13)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Insurance database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9  (</w:t>
            </w:r>
            <w:r>
              <w:rPr>
                <w:rFonts w:ascii="Calibri" w:hAnsi="Calibri" w:cs="Calibri"/>
                <w:color w:val="000000"/>
              </w:rPr>
              <w:t>38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11  (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CPRD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(or GPRD)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(36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6  (25)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14  (30)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primary/secondary care database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4  (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 (11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Recruited from 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Hospital/Clinic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 (41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9  (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6E" w:rsidRPr="003C644C" w:rsidRDefault="004D536E" w:rsidP="00D60554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 definition*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All cancer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5  (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16  (</w:t>
            </w:r>
            <w:r>
              <w:rPr>
                <w:rFonts w:ascii="Calibri" w:hAnsi="Calibri" w:cs="Calibri"/>
                <w:color w:val="000000"/>
              </w:rPr>
              <w:t>67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  (46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Colorectal/Bowel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12  (50)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 (3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HCC/ICC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5  (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(8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 (15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Ovarian/Endometrial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ladder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3  (</w:t>
            </w:r>
            <w:r>
              <w:rPr>
                <w:rFonts w:ascii="Calibri" w:hAnsi="Calibri" w:cs="Calibri"/>
                <w:color w:val="000000"/>
              </w:rPr>
              <w:t>13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reast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3  (</w:t>
            </w:r>
            <w:r>
              <w:rPr>
                <w:rFonts w:ascii="Calibri" w:hAnsi="Calibri" w:cs="Calibri"/>
                <w:color w:val="000000"/>
              </w:rPr>
              <w:t>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10  (</w:t>
            </w:r>
            <w:r>
              <w:rPr>
                <w:rFonts w:ascii="Calibri" w:hAnsi="Calibri" w:cs="Calibri"/>
                <w:color w:val="000000"/>
              </w:rPr>
              <w:t>42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  (28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esophagus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4  (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idney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iver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 (21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 (11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eukaemia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  (4.2)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ung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 (18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 (26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elanoma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ancreas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 (42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 (28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rostate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 (24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tomach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 (17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 (11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6E" w:rsidRPr="003C644C" w:rsidRDefault="004D536E" w:rsidP="00D6055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Pr="003C64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efinition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exposure to metformin </w:t>
            </w:r>
            <w:r w:rsidRPr="003C64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 primary estimate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Any Exposure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 (64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(48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Any exposure but minimum time/number of prescriptions needed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 xml:space="preserve">Total Exposure (Number of prescriptions/time on metformin)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 (27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 (17)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3C644C"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 xml:space="preserve">Monotherapy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 (5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Pr="003C644C"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 xml:space="preserve">Randomisation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 xml:space="preserve">1  </w:t>
            </w:r>
            <w:r>
              <w:rPr>
                <w:rFonts w:ascii="Calibri" w:hAnsi="Calibri" w:cs="Calibri"/>
                <w:color w:val="000000"/>
              </w:rPr>
              <w:t>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3C644C">
              <w:rPr>
                <w:rFonts w:ascii="Calibri" w:hAnsi="Calibri" w:cs="Calibri"/>
                <w:color w:val="000000"/>
              </w:rPr>
              <w:t>ombination therapy</w:t>
            </w:r>
            <w:r>
              <w:rPr>
                <w:rFonts w:ascii="Calibri" w:hAnsi="Calibri" w:cs="Calibri"/>
                <w:color w:val="000000"/>
              </w:rPr>
              <w:t xml:space="preserve"> with sulfonylurea</w:t>
            </w:r>
            <w:r w:rsidRPr="003C64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44C">
              <w:rPr>
                <w:rFonts w:ascii="Calibri" w:hAnsi="Calibri" w:cs="Calibri"/>
                <w:b/>
                <w:bCs/>
                <w:color w:val="000000"/>
              </w:rPr>
              <w:t xml:space="preserve">Timing of Exposure measurement 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Current use (at time of cancer/matched date)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Time updated (</w:t>
            </w:r>
            <w:r>
              <w:rPr>
                <w:rFonts w:ascii="Calibri" w:hAnsi="Calibri" w:cs="Calibri"/>
                <w:color w:val="000000"/>
              </w:rPr>
              <w:t>current/ever/cumulative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8  (</w:t>
            </w:r>
            <w:r>
              <w:rPr>
                <w:rFonts w:ascii="Calibri" w:hAnsi="Calibri" w:cs="Calibri"/>
                <w:color w:val="000000"/>
              </w:rPr>
              <w:t>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8 (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3C644C">
              <w:rPr>
                <w:rFonts w:ascii="Calibri" w:hAnsi="Calibri" w:cs="Calibri"/>
                <w:color w:val="000000"/>
              </w:rPr>
              <w:t xml:space="preserve">ixed from start of follow up, with exposure occurring in a baseline period or follow </w:t>
            </w:r>
            <w:r>
              <w:rPr>
                <w:rFonts w:ascii="Calibri" w:hAnsi="Calibri" w:cs="Calibri"/>
                <w:color w:val="000000"/>
              </w:rPr>
              <w:t xml:space="preserve">up starting from first exposure (Intention to treat (ITT)).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8 (</w:t>
            </w:r>
            <w:r>
              <w:rPr>
                <w:rFonts w:ascii="Calibri" w:hAnsi="Calibri" w:cs="Calibri"/>
                <w:color w:val="000000"/>
              </w:rPr>
              <w:t>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8  (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 summary measure of exposure over entire follow up.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 (86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 (33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 (59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6E" w:rsidRPr="003C644C" w:rsidRDefault="004D536E" w:rsidP="00D6055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Comparator group</w:t>
            </w:r>
            <w:r w:rsidRPr="003C64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for primary estimate 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Less exposure (i.e. continuous exposure variable)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3C644C"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3C644C"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Diet Only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 (0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Rosiglitazone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0  (0)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(2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Sulfonylurea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 (38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11  (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Any other OAD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3C644C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(17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 (15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metformin (combination of diet and other OADs)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 (77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Pr="003C644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(29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3C644C">
              <w:rPr>
                <w:rFonts w:ascii="Calibri" w:hAnsi="Calibri" w:cs="Calibri"/>
                <w:color w:val="000000"/>
              </w:rPr>
              <w:t xml:space="preserve">  (</w:t>
            </w:r>
            <w:r>
              <w:rPr>
                <w:rFonts w:ascii="Calibri" w:hAnsi="Calibri" w:cs="Calibri"/>
                <w:color w:val="000000"/>
              </w:rPr>
              <w:t>52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6E" w:rsidRPr="003C644C" w:rsidRDefault="004D536E" w:rsidP="00D60554">
            <w:pPr>
              <w:jc w:val="left"/>
              <w:rPr>
                <w:rFonts w:ascii="Calibri" w:hAnsi="Calibri" w:cs="Calibri"/>
                <w:b/>
                <w:color w:val="000000"/>
              </w:rPr>
            </w:pPr>
            <w:r w:rsidRPr="003C644C">
              <w:rPr>
                <w:rFonts w:ascii="Calibri" w:hAnsi="Calibri" w:cs="Calibri"/>
                <w:b/>
                <w:color w:val="000000"/>
              </w:rPr>
              <w:t>**</w:t>
            </w:r>
            <w:r>
              <w:rPr>
                <w:rFonts w:ascii="Calibri" w:hAnsi="Calibri" w:cs="Calibri"/>
                <w:b/>
                <w:color w:val="000000"/>
              </w:rPr>
              <w:t xml:space="preserve"> New users of Oral Antidiabetic Drugs (OADs)</w:t>
            </w:r>
          </w:p>
        </w:tc>
      </w:tr>
      <w:tr w:rsidR="004D536E" w:rsidRPr="003C644C" w:rsidTr="0079499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  <w:noWrap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 (14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7  (</w:t>
            </w:r>
            <w:r>
              <w:rPr>
                <w:rFonts w:ascii="Calibri" w:hAnsi="Calibri" w:cs="Calibri"/>
                <w:color w:val="000000"/>
              </w:rPr>
              <w:t>29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10  (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4D536E" w:rsidRPr="003C644C" w:rsidTr="0079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bottom w:val="none" w:sz="0" w:space="0" w:color="auto"/>
            </w:tcBorders>
            <w:noWrap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17  (77)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12  (50)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29  (63)</w:t>
            </w:r>
          </w:p>
        </w:tc>
      </w:tr>
      <w:tr w:rsidR="004D536E" w:rsidRPr="003C644C" w:rsidTr="00291F4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D536E" w:rsidRPr="003C644C" w:rsidRDefault="004D536E" w:rsidP="00D605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644C">
              <w:rPr>
                <w:rFonts w:ascii="Calibri" w:eastAsia="Times New Roman" w:hAnsi="Calibri" w:cs="Calibri"/>
                <w:color w:val="000000"/>
                <w:lang w:eastAsia="en-GB"/>
              </w:rPr>
              <w:t>Unsure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 (9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 xml:space="preserve">5  </w:t>
            </w:r>
            <w:r>
              <w:rPr>
                <w:rFonts w:ascii="Calibri" w:hAnsi="Calibri" w:cs="Calibri"/>
                <w:color w:val="000000"/>
              </w:rPr>
              <w:t>(21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36E" w:rsidRPr="003C644C" w:rsidRDefault="004D536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C644C">
              <w:rPr>
                <w:rFonts w:ascii="Calibri" w:hAnsi="Calibri" w:cs="Calibri"/>
                <w:color w:val="000000"/>
              </w:rPr>
              <w:t>7 (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3C644C"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:rsidR="004D536E" w:rsidRDefault="004D536E" w:rsidP="004D536E">
      <w:pPr>
        <w:rPr>
          <w:b/>
          <w:sz w:val="22"/>
          <w:szCs w:val="22"/>
        </w:rPr>
        <w:sectPr w:rsidR="004D536E" w:rsidSect="003C64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536E" w:rsidRDefault="004D536E" w:rsidP="004D53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Table 2: Adjustment method for key time dependent confounders</w:t>
      </w:r>
      <w:r w:rsidR="00A40A54">
        <w:rPr>
          <w:b/>
          <w:sz w:val="22"/>
          <w:szCs w:val="22"/>
        </w:rPr>
        <w:t xml:space="preserve"> affected by prior treatment</w:t>
      </w:r>
      <w:r>
        <w:rPr>
          <w:b/>
          <w:sz w:val="22"/>
          <w:szCs w:val="22"/>
        </w:rPr>
        <w:t>: Case control Studies.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2411"/>
        <w:gridCol w:w="816"/>
        <w:gridCol w:w="816"/>
        <w:gridCol w:w="795"/>
        <w:gridCol w:w="833"/>
        <w:gridCol w:w="851"/>
        <w:gridCol w:w="795"/>
        <w:gridCol w:w="816"/>
        <w:gridCol w:w="816"/>
        <w:gridCol w:w="1116"/>
      </w:tblGrid>
      <w:tr w:rsidR="004D536E" w:rsidRPr="00A14699" w:rsidTr="004D536E">
        <w:trPr>
          <w:trHeight w:val="31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6E" w:rsidRPr="00A14699" w:rsidRDefault="00A40A54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Study Name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HbA1c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Other Diabetic Medication</w:t>
            </w:r>
          </w:p>
        </w:tc>
      </w:tr>
      <w:tr w:rsidR="004D536E" w:rsidRPr="00A14699" w:rsidTr="004D536E">
        <w:trPr>
          <w:trHeight w:val="183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prior to first exposure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between exposure and index date 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at index date 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prior to first exposure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between exposure and index date 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at index </w:t>
            </w:r>
            <w:proofErr w:type="spellStart"/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date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  <w:proofErr w:type="spellEnd"/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prior to first exposure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between exposure and index date 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Adjusted for value at index date </w:t>
            </w:r>
            <w:r w:rsidRPr="00A1469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Azoulay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(2011) [24]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Becker et al.   (2013)  [25]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Bodmer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(2011)  [29]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Bodmer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(2010)  [30]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Bodmer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(2012) (Lung)  [26]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Bodmer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(2012) (Pancreatic)  [28]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Bodmer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(2012) (Colorectal</w:t>
            </w: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  [27]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Bosco et al.  (2011)  [31]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Chaiteerakij</w:t>
            </w:r>
            <w:proofErr w:type="spellEnd"/>
            <w:r w:rsidRPr="00A146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et al.  </w:t>
            </w:r>
            <w:r w:rsidRPr="00A1469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(2013) [32]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Dabrowski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(2013)  [34]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Donadon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(2010)  [35]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 et al.   (2009)  [37]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Evans et al.  (2005)  [7]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Hassan et al.  (2012)  [38]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Margel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(2013)  [39]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Mazzone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(2012)  [40]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Monami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(2009)  [42]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Monami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(2011)  [41]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Smiechowski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(2013)  [43]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Wang et al.   (2013)  [44]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Chen et al.  (2013)  [33]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D536E" w:rsidRPr="00A14699" w:rsidTr="004D536E">
        <w:trPr>
          <w:trHeight w:val="5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36E" w:rsidRPr="00A14699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Donadon</w:t>
            </w:r>
            <w:proofErr w:type="spellEnd"/>
            <w:r w:rsidRPr="00A146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(2010) - 2  [36]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14699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14699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D536E" w:rsidRPr="00F52E4D" w:rsidRDefault="004D536E" w:rsidP="004D536E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</w:rPr>
        <w:t>a</w:t>
      </w:r>
      <w:proofErr w:type="spellEnd"/>
      <w:proofErr w:type="gramEnd"/>
      <w:r w:rsidRPr="00F52E4D">
        <w:rPr>
          <w:sz w:val="22"/>
          <w:szCs w:val="22"/>
        </w:rPr>
        <w:t xml:space="preserve"> Index date = time of cancer diagnosis</w:t>
      </w:r>
      <w:r w:rsidR="00A40A54">
        <w:rPr>
          <w:sz w:val="22"/>
          <w:szCs w:val="22"/>
        </w:rPr>
        <w:t xml:space="preserve">/matched date for control. </w:t>
      </w:r>
    </w:p>
    <w:p w:rsidR="004D536E" w:rsidRDefault="004D536E" w:rsidP="004D536E">
      <w:pPr>
        <w:rPr>
          <w:sz w:val="22"/>
          <w:szCs w:val="22"/>
        </w:rPr>
      </w:pPr>
      <w:proofErr w:type="gramStart"/>
      <w:r w:rsidRPr="00A14699">
        <w:rPr>
          <w:sz w:val="22"/>
          <w:szCs w:val="22"/>
          <w:vertAlign w:val="superscript"/>
        </w:rPr>
        <w:t>b</w:t>
      </w:r>
      <w:proofErr w:type="gramEnd"/>
      <w:r w:rsidR="00A40A54">
        <w:rPr>
          <w:sz w:val="22"/>
          <w:szCs w:val="22"/>
          <w:vertAlign w:val="superscript"/>
        </w:rPr>
        <w:t xml:space="preserve"> </w:t>
      </w:r>
      <w:r w:rsidRPr="00E37FAF">
        <w:rPr>
          <w:sz w:val="22"/>
          <w:szCs w:val="22"/>
        </w:rPr>
        <w:t xml:space="preserve">Sensitivity analysis assessed whether there was a difference between adjusting for covariates measured before exposure or anytime between 1 year prior to exposure and </w:t>
      </w:r>
      <w:r w:rsidR="00A40A54">
        <w:rPr>
          <w:sz w:val="22"/>
          <w:szCs w:val="22"/>
        </w:rPr>
        <w:t>index date.</w:t>
      </w: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Default="004D536E" w:rsidP="004D536E">
      <w:pPr>
        <w:rPr>
          <w:b/>
          <w:sz w:val="22"/>
          <w:szCs w:val="22"/>
        </w:rPr>
      </w:pPr>
    </w:p>
    <w:p w:rsidR="004D536E" w:rsidRPr="00F93AF4" w:rsidRDefault="004D536E" w:rsidP="004D53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Table 3:</w:t>
      </w:r>
      <w:r w:rsidRPr="009747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Adjustment method for key time dependent confounders</w:t>
      </w:r>
      <w:r w:rsidR="00A40A54">
        <w:rPr>
          <w:b/>
          <w:sz w:val="22"/>
          <w:szCs w:val="22"/>
        </w:rPr>
        <w:t xml:space="preserve"> affected by prior treatment</w:t>
      </w:r>
      <w:r>
        <w:rPr>
          <w:b/>
          <w:sz w:val="22"/>
          <w:szCs w:val="22"/>
        </w:rPr>
        <w:t xml:space="preserve">: Cohort Studies </w:t>
      </w:r>
    </w:p>
    <w:tbl>
      <w:tblPr>
        <w:tblW w:w="9850" w:type="dxa"/>
        <w:tblInd w:w="-152" w:type="dxa"/>
        <w:tblLook w:val="04A0" w:firstRow="1" w:lastRow="0" w:firstColumn="1" w:lastColumn="0" w:noHBand="0" w:noVBand="1"/>
      </w:tblPr>
      <w:tblGrid>
        <w:gridCol w:w="1985"/>
        <w:gridCol w:w="864"/>
        <w:gridCol w:w="837"/>
        <w:gridCol w:w="876"/>
        <w:gridCol w:w="864"/>
        <w:gridCol w:w="812"/>
        <w:gridCol w:w="876"/>
        <w:gridCol w:w="966"/>
        <w:gridCol w:w="795"/>
        <w:gridCol w:w="975"/>
      </w:tblGrid>
      <w:tr w:rsidR="004D536E" w:rsidRPr="00AB1198" w:rsidTr="007E4360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6E" w:rsidRPr="00A40A54" w:rsidRDefault="00A40A54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0A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Study name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HbA1c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12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Other Diabetic Medication</w:t>
            </w:r>
          </w:p>
        </w:tc>
      </w:tr>
      <w:tr w:rsidR="004D536E" w:rsidRPr="00AB1198" w:rsidTr="007E4360">
        <w:trPr>
          <w:trHeight w:val="183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at cohort entry (at time of or prior to first exposure)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as a time updated variable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Measured as an average of values/ at any point after exposure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at cohort entry (at time of or prior to first exposure)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as a time updated variable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Measured as an average of values/ at any point after exposure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for value at cohort entry (at time of or prior to first exposure)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as a time updated variable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Measured as an average of values/ at any point after exposure   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Currie et al.  (2009)  [3]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Currie et al.  (2013)  [47]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Geraldine et al.   (2012)  [49]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E4360" w:rsidRPr="00AB1198" w:rsidTr="007E4360">
        <w:trPr>
          <w:trHeight w:val="2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Home et al.   (2010)   [51]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Hsieh et al.  (2012)  [8]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Lai et al.   (2012) (HCC)  [52]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Lai et al.  (2012) (LUNG)  [53]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Lee et al.   (2011)  [54]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Libby et al.  (2009)  [5]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Qiu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(2013)  [59]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Redaniel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(2012)  [60]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Ruiter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(2012)  [9]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Tsilidis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(2014)  [61]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Yang et al.  (2011)  [63]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Buchs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&amp; Silverman (2011)  [45]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Oliviera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(2008)  [58]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Hense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(2011)  [50]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Chiu et al.   (2013)  [46]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Ferrara et al.  (2011)  [48]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Lehman et al.   (2012)  [55]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Morden et al.  (2011)  [56]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Neumann et al.  (2011)  [57]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Staa</w:t>
            </w:r>
            <w:proofErr w:type="spellEnd"/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et al.   (2012)  [62]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D536E" w:rsidRPr="00AB1198" w:rsidTr="007E436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B119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Morgan et al.   (2012)  [64]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✔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shd w:val="clear" w:color="000000" w:fill="D9D9D9"/>
            <w:noWrap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536E" w:rsidRPr="00AB1198" w:rsidRDefault="004D536E" w:rsidP="00D60554">
            <w:pPr>
              <w:spacing w:after="0" w:line="240" w:lineRule="auto"/>
              <w:contextualSpacing/>
              <w:jc w:val="center"/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</w:pPr>
            <w:r w:rsidRPr="00AB1198">
              <w:rPr>
                <w:rFonts w:ascii="Segoe UI Symbol" w:eastAsia="Times New Roman" w:hAnsi="Segoe UI Symbol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4D536E" w:rsidRDefault="004D536E" w:rsidP="004D536E">
      <w:pPr>
        <w:contextualSpacing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weight</w:t>
      </w:r>
      <w:proofErr w:type="spellEnd"/>
      <w:proofErr w:type="gramEnd"/>
      <w:r>
        <w:rPr>
          <w:sz w:val="22"/>
          <w:szCs w:val="22"/>
        </w:rPr>
        <w:t xml:space="preserve"> used instead of BMI</w:t>
      </w:r>
    </w:p>
    <w:p w:rsidR="004D536E" w:rsidRDefault="004D536E" w:rsidP="004D536E">
      <w:pPr>
        <w:contextualSpacing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</w:rPr>
        <w:t>b</w:t>
      </w:r>
      <w:r w:rsidRPr="005F5052">
        <w:rPr>
          <w:sz w:val="22"/>
          <w:szCs w:val="22"/>
        </w:rPr>
        <w:t>measured</w:t>
      </w:r>
      <w:proofErr w:type="spellEnd"/>
      <w:proofErr w:type="gramEnd"/>
      <w:r w:rsidRPr="005F5052">
        <w:rPr>
          <w:sz w:val="22"/>
          <w:szCs w:val="22"/>
        </w:rPr>
        <w:t xml:space="preserve"> within 3 months/1 year of cohort entry (either side of first exposure)</w:t>
      </w:r>
    </w:p>
    <w:p w:rsidR="004D536E" w:rsidRDefault="004D536E" w:rsidP="004D536E">
      <w:pPr>
        <w:contextualSpacing/>
        <w:rPr>
          <w:sz w:val="22"/>
          <w:szCs w:val="22"/>
        </w:rPr>
      </w:pPr>
      <w:proofErr w:type="spellStart"/>
      <w:proofErr w:type="gramStart"/>
      <w:r w:rsidRPr="00275461"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>diabetes</w:t>
      </w:r>
      <w:proofErr w:type="spellEnd"/>
      <w:proofErr w:type="gramEnd"/>
      <w:r>
        <w:rPr>
          <w:sz w:val="22"/>
          <w:szCs w:val="22"/>
        </w:rPr>
        <w:t xml:space="preserve"> complications used as proxy measures for severity </w:t>
      </w:r>
    </w:p>
    <w:p w:rsidR="009D761E" w:rsidRDefault="004D536E" w:rsidP="004D536E">
      <w:pPr>
        <w:contextualSpacing/>
        <w:rPr>
          <w:sz w:val="22"/>
          <w:szCs w:val="22"/>
        </w:rPr>
      </w:pPr>
      <w:r w:rsidRPr="005F5052">
        <w:rPr>
          <w:sz w:val="22"/>
          <w:szCs w:val="22"/>
        </w:rPr>
        <w:t>Grey boxes indicate that a</w:t>
      </w:r>
      <w:r>
        <w:rPr>
          <w:sz w:val="22"/>
          <w:szCs w:val="22"/>
        </w:rPr>
        <w:t>djustment not necessary. For HbA</w:t>
      </w:r>
      <w:r w:rsidRPr="00275461">
        <w:rPr>
          <w:sz w:val="22"/>
          <w:szCs w:val="22"/>
          <w:vertAlign w:val="subscript"/>
        </w:rPr>
        <w:t>1c</w:t>
      </w:r>
      <w:r>
        <w:rPr>
          <w:sz w:val="22"/>
          <w:szCs w:val="22"/>
        </w:rPr>
        <w:t xml:space="preserve"> and BMI, this was due to randomised treatment allocation. For use of other OADs, adjustment was not necessary if the</w:t>
      </w:r>
      <w:r w:rsidRPr="005F5052">
        <w:rPr>
          <w:sz w:val="22"/>
          <w:szCs w:val="22"/>
        </w:rPr>
        <w:t xml:space="preserve"> study looked at incident users of </w:t>
      </w:r>
      <w:r w:rsidR="00306A68">
        <w:rPr>
          <w:sz w:val="22"/>
          <w:szCs w:val="22"/>
        </w:rPr>
        <w:t>diabetes medications</w:t>
      </w:r>
      <w:r w:rsidRPr="005F5052">
        <w:rPr>
          <w:sz w:val="22"/>
          <w:szCs w:val="22"/>
        </w:rPr>
        <w:t xml:space="preserve"> and cens</w:t>
      </w:r>
      <w:r w:rsidR="00306A68">
        <w:rPr>
          <w:sz w:val="22"/>
          <w:szCs w:val="22"/>
        </w:rPr>
        <w:t xml:space="preserve">ored at </w:t>
      </w:r>
      <w:r>
        <w:rPr>
          <w:sz w:val="22"/>
          <w:szCs w:val="22"/>
        </w:rPr>
        <w:t>change</w:t>
      </w:r>
      <w:r w:rsidR="00306A68">
        <w:rPr>
          <w:sz w:val="22"/>
          <w:szCs w:val="22"/>
        </w:rPr>
        <w:t xml:space="preserve"> in medication</w:t>
      </w:r>
      <w:r>
        <w:rPr>
          <w:sz w:val="22"/>
          <w:szCs w:val="22"/>
        </w:rPr>
        <w:t>.</w:t>
      </w:r>
    </w:p>
    <w:p w:rsidR="009D761E" w:rsidRDefault="009D761E">
      <w:pPr>
        <w:rPr>
          <w:sz w:val="22"/>
          <w:szCs w:val="22"/>
        </w:rPr>
        <w:sectPr w:rsidR="009D761E" w:rsidSect="001677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536E" w:rsidRDefault="004D536E" w:rsidP="004D536E">
      <w:pPr>
        <w:contextualSpacing/>
        <w:rPr>
          <w:sz w:val="22"/>
          <w:szCs w:val="22"/>
        </w:rPr>
      </w:pPr>
    </w:p>
    <w:p w:rsidR="009D761E" w:rsidRPr="00F93AF4" w:rsidRDefault="009D761E" w:rsidP="009D761E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4</w:t>
      </w:r>
      <w:r w:rsidR="00A40A54">
        <w:rPr>
          <w:b/>
          <w:sz w:val="22"/>
          <w:szCs w:val="22"/>
        </w:rPr>
        <w:t>: Parameter estimates from</w:t>
      </w:r>
      <w:r w:rsidRPr="00A50A7A">
        <w:rPr>
          <w:b/>
          <w:sz w:val="22"/>
          <w:szCs w:val="22"/>
        </w:rPr>
        <w:t xml:space="preserve"> </w:t>
      </w:r>
      <w:proofErr w:type="gramStart"/>
      <w:r w:rsidRPr="00A50A7A">
        <w:rPr>
          <w:b/>
          <w:sz w:val="22"/>
          <w:szCs w:val="22"/>
        </w:rPr>
        <w:t>meta</w:t>
      </w:r>
      <w:proofErr w:type="gramEnd"/>
      <w:r w:rsidRPr="00A50A7A">
        <w:rPr>
          <w:b/>
          <w:sz w:val="22"/>
          <w:szCs w:val="22"/>
        </w:rPr>
        <w:t xml:space="preserve"> regression models after backwards stepwise selection </w:t>
      </w:r>
    </w:p>
    <w:tbl>
      <w:tblPr>
        <w:tblStyle w:val="GridTable2"/>
        <w:tblW w:w="5281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2267"/>
        <w:gridCol w:w="1277"/>
        <w:gridCol w:w="1701"/>
        <w:gridCol w:w="678"/>
        <w:gridCol w:w="29"/>
        <w:gridCol w:w="1536"/>
        <w:gridCol w:w="593"/>
        <w:gridCol w:w="1548"/>
        <w:gridCol w:w="672"/>
        <w:gridCol w:w="15"/>
        <w:gridCol w:w="1595"/>
        <w:gridCol w:w="708"/>
        <w:gridCol w:w="1418"/>
        <w:gridCol w:w="705"/>
      </w:tblGrid>
      <w:tr w:rsidR="009D761E" w:rsidRPr="0018241D" w:rsidTr="004A4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07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All cancer </w:t>
            </w:r>
          </w:p>
        </w:tc>
        <w:tc>
          <w:tcPr>
            <w:tcW w:w="732" w:type="pct"/>
            <w:gridSpan w:val="3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Colorectal/Bowel</w:t>
            </w:r>
          </w:p>
        </w:tc>
        <w:tc>
          <w:tcPr>
            <w:tcW w:w="75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Lung </w:t>
            </w:r>
          </w:p>
        </w:tc>
        <w:tc>
          <w:tcPr>
            <w:tcW w:w="786" w:type="pct"/>
            <w:gridSpan w:val="3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Breast</w:t>
            </w:r>
          </w:p>
        </w:tc>
        <w:tc>
          <w:tcPr>
            <w:tcW w:w="72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Pancreatic</w:t>
            </w: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*Estimate 95% CI for effect on log risk ratio </w:t>
            </w: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 value </w:t>
            </w:r>
          </w:p>
        </w:tc>
        <w:tc>
          <w:tcPr>
            <w:tcW w:w="521" w:type="pct"/>
            <w:shd w:val="clear" w:color="auto" w:fill="auto"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*Estimate 95% CI for effect on log risk ratio 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 value </w:t>
            </w:r>
          </w:p>
        </w:tc>
        <w:tc>
          <w:tcPr>
            <w:tcW w:w="525" w:type="pct"/>
            <w:shd w:val="clear" w:color="auto" w:fill="auto"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*Estimate 95% CI for effect on log risk ratio 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 value </w:t>
            </w:r>
          </w:p>
        </w:tc>
        <w:tc>
          <w:tcPr>
            <w:tcW w:w="541" w:type="pct"/>
            <w:shd w:val="clear" w:color="auto" w:fill="auto"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*Estimate 95% CI for effect on log risk ratio 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 value </w:t>
            </w:r>
          </w:p>
        </w:tc>
        <w:tc>
          <w:tcPr>
            <w:tcW w:w="481" w:type="pct"/>
            <w:shd w:val="clear" w:color="auto" w:fill="auto"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*Estimate 95% CI for effect on log risk ratio 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F93AF4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93A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 value </w:t>
            </w: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Comparator Group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No metformin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Diet only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-1.19 (-2.43 , 0.05)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D761E" w:rsidRPr="0018241D" w:rsidRDefault="009D761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0.075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Less Metformin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 (-0.27 , 0.63)</w:t>
            </w:r>
          </w:p>
        </w:tc>
        <w:tc>
          <w:tcPr>
            <w:tcW w:w="240" w:type="pct"/>
            <w:gridSpan w:val="2"/>
            <w:vMerge/>
            <w:shd w:val="clear" w:color="auto" w:fill="auto"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 (-0.34 , 0.44)</w:t>
            </w:r>
          </w:p>
        </w:tc>
        <w:tc>
          <w:tcPr>
            <w:tcW w:w="23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D761E" w:rsidRPr="0018241D" w:rsidRDefault="009D761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-0.37 (-0.8 , 0.07)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  <w:hideMark/>
          </w:tcPr>
          <w:p w:rsidR="009D761E" w:rsidRPr="0018241D" w:rsidRDefault="009D761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-2.32 (-5.12 , 0.49)</w:t>
            </w:r>
          </w:p>
        </w:tc>
        <w:tc>
          <w:tcPr>
            <w:tcW w:w="239" w:type="pct"/>
            <w:vMerge w:val="restart"/>
            <w:shd w:val="clear" w:color="auto" w:fill="auto"/>
            <w:noWrap/>
            <w:vAlign w:val="center"/>
            <w:hideMark/>
          </w:tcPr>
          <w:p w:rsidR="009D761E" w:rsidRPr="0018241D" w:rsidRDefault="009D761E" w:rsidP="00D60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Other OAD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0.24 (-0.06 , 0.54)</w:t>
            </w:r>
          </w:p>
        </w:tc>
        <w:tc>
          <w:tcPr>
            <w:tcW w:w="240" w:type="pct"/>
            <w:gridSpan w:val="2"/>
            <w:vMerge/>
            <w:shd w:val="clear" w:color="auto" w:fill="auto"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-0.15 (-0.31 , 0.02)</w:t>
            </w:r>
          </w:p>
        </w:tc>
        <w:tc>
          <w:tcPr>
            <w:tcW w:w="233" w:type="pct"/>
            <w:gridSpan w:val="2"/>
            <w:vMerge/>
            <w:shd w:val="clear" w:color="auto" w:fill="auto"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 (-0.41 , -0.03)</w:t>
            </w:r>
          </w:p>
        </w:tc>
        <w:tc>
          <w:tcPr>
            <w:tcW w:w="240" w:type="pct"/>
            <w:vMerge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 (-2.46 , 1.57)</w:t>
            </w:r>
          </w:p>
        </w:tc>
        <w:tc>
          <w:tcPr>
            <w:tcW w:w="239" w:type="pct"/>
            <w:vMerge/>
            <w:shd w:val="clear" w:color="auto" w:fill="auto"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4A427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Bias from </w:t>
            </w:r>
            <w:r w:rsidR="009D761E"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Exposure Definition 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Risk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-0.44 (-0.72 , -0.17)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4A427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Bias from </w:t>
            </w:r>
            <w:r w:rsidR="009D761E"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Outcome Definition 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-0.17 (-0.48 , 0.14)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0.99 (-0.85 , 2.83)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0.251</w:t>
            </w: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Immortal Time bias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-0.39 (-0.85 , 0.08)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4A427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Bias from </w:t>
            </w:r>
            <w:r w:rsidR="009D761E"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Time dependent confounding 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0.22 (0.01 , 0.44)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4A427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Bias from </w:t>
            </w:r>
            <w:r w:rsidR="009D761E"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Baseline confounding 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Low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High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A42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-0.22 (-0.45 , 0.02)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Incident users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Yes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 (ref)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0.18 (-0.14 , 0.5)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-0.25 (-0.49 , -0.02)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-1.12 (-3.54 , 1.3)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0.317</w:t>
            </w: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Constant 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-0.28 (-0.51 , -0.05)</w:t>
            </w: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-0.06 (-0.22 , 0.11)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 (-0.16 , 0.18)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 (-0.08 , 0.41)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0.11 (-2.19 , 2.4)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0.916</w:t>
            </w: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036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 squared </w:t>
            </w:r>
          </w:p>
        </w:tc>
        <w:tc>
          <w:tcPr>
            <w:tcW w:w="433" w:type="pct"/>
            <w:shd w:val="clear" w:color="auto" w:fill="auto"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88.60%</w:t>
            </w: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75.00%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1.9%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75.4%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Adjusted R</w:t>
            </w:r>
            <w:r w:rsidRPr="00C14DB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433" w:type="pct"/>
            <w:shd w:val="clear" w:color="auto" w:fill="auto"/>
          </w:tcPr>
          <w:p w:rsidR="009D761E" w:rsidRPr="0018241D" w:rsidRDefault="009D761E" w:rsidP="00D60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6.90%</w:t>
            </w:r>
          </w:p>
        </w:tc>
        <w:tc>
          <w:tcPr>
            <w:tcW w:w="240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30.40%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233" w:type="pct"/>
            <w:gridSpan w:val="2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824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65.2%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9D761E" w:rsidRPr="0018241D" w:rsidRDefault="009D761E" w:rsidP="00D605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D761E" w:rsidRPr="0018241D" w:rsidTr="004A427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shd w:val="clear" w:color="auto" w:fill="auto"/>
            <w:noWrap/>
          </w:tcPr>
          <w:p w:rsidR="009D761E" w:rsidRPr="0018241D" w:rsidRDefault="009D761E" w:rsidP="00D6055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2036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Tau</w:t>
            </w:r>
            <w:r w:rsidRPr="00C14DB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9D761E" w:rsidRPr="0018241D" w:rsidRDefault="009D761E" w:rsidP="00D60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7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240" w:type="pct"/>
            <w:gridSpan w:val="2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200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3" w:type="pct"/>
            <w:gridSpan w:val="2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239" w:type="pct"/>
            <w:shd w:val="clear" w:color="auto" w:fill="auto"/>
            <w:noWrap/>
          </w:tcPr>
          <w:p w:rsidR="009D761E" w:rsidRPr="0018241D" w:rsidRDefault="009D761E" w:rsidP="00D605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D761E" w:rsidRDefault="009D761E" w:rsidP="009D761E">
      <w:pPr>
        <w:contextualSpacing/>
        <w:rPr>
          <w:sz w:val="16"/>
          <w:szCs w:val="16"/>
        </w:rPr>
      </w:pPr>
      <w:r w:rsidRPr="00520365">
        <w:rPr>
          <w:sz w:val="16"/>
          <w:szCs w:val="16"/>
        </w:rPr>
        <w:t xml:space="preserve">*Estimate represents the expected change in the log risk ratio (either HR or </w:t>
      </w:r>
      <w:proofErr w:type="spellStart"/>
      <w:r w:rsidRPr="00520365">
        <w:rPr>
          <w:sz w:val="16"/>
          <w:szCs w:val="16"/>
        </w:rPr>
        <w:t>OR</w:t>
      </w:r>
      <w:proofErr w:type="spellEnd"/>
      <w:r w:rsidRPr="00520365">
        <w:rPr>
          <w:sz w:val="16"/>
          <w:szCs w:val="16"/>
        </w:rPr>
        <w:t xml:space="preserve"> depending on analysis method) for the effect of metformin on cancer, for each study level predictor. For example, a study of metformin and lung cancer, in which there is high risk of bias from exposure definition, is estimated to have a log risk ratio 0.44 lower than a study not at risk of bias from exposure definition. </w:t>
      </w:r>
    </w:p>
    <w:p w:rsidR="009D761E" w:rsidRDefault="009D761E" w:rsidP="009D761E">
      <w:pPr>
        <w:contextualSpacing/>
        <w:rPr>
          <w:sz w:val="16"/>
          <w:szCs w:val="16"/>
        </w:rPr>
      </w:pPr>
      <w:r w:rsidRPr="00520365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I squared is the estimate of residual variation due to study heterogeneity </w:t>
      </w:r>
    </w:p>
    <w:p w:rsidR="009D761E" w:rsidRDefault="009D761E" w:rsidP="009D761E">
      <w:pPr>
        <w:contextualSpacing/>
        <w:rPr>
          <w:sz w:val="16"/>
          <w:szCs w:val="16"/>
        </w:rPr>
      </w:pPr>
      <w:r w:rsidRPr="00520365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 w:rsidR="00A40A54">
        <w:rPr>
          <w:sz w:val="16"/>
          <w:szCs w:val="16"/>
        </w:rPr>
        <w:t>Adjusted</w:t>
      </w:r>
      <w:r>
        <w:rPr>
          <w:sz w:val="16"/>
          <w:szCs w:val="16"/>
        </w:rPr>
        <w:t xml:space="preserve"> R</w:t>
      </w:r>
      <w:r w:rsidRPr="00520365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is the estimated proportion of between study variance explained by the covariates in the </w:t>
      </w:r>
      <w:proofErr w:type="gramStart"/>
      <w:r>
        <w:rPr>
          <w:sz w:val="16"/>
          <w:szCs w:val="16"/>
        </w:rPr>
        <w:t>meta</w:t>
      </w:r>
      <w:proofErr w:type="gramEnd"/>
      <w:r>
        <w:rPr>
          <w:sz w:val="16"/>
          <w:szCs w:val="16"/>
        </w:rPr>
        <w:t xml:space="preserve"> regression </w:t>
      </w:r>
    </w:p>
    <w:p w:rsidR="004D536E" w:rsidRPr="00291F4D" w:rsidRDefault="009D761E" w:rsidP="004D536E">
      <w:pPr>
        <w:contextualSpacing/>
        <w:rPr>
          <w:sz w:val="16"/>
          <w:szCs w:val="16"/>
        </w:rPr>
        <w:sectPr w:rsidR="004D536E" w:rsidRPr="00291F4D" w:rsidSect="009D76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20365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Tau</w:t>
      </w:r>
      <w:bookmarkStart w:id="0" w:name="_GoBack"/>
      <w:bookmarkEnd w:id="0"/>
      <w:r w:rsidRPr="00520365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is the estimate of the r</w:t>
      </w:r>
      <w:r w:rsidR="00291F4D">
        <w:rPr>
          <w:sz w:val="16"/>
          <w:szCs w:val="16"/>
        </w:rPr>
        <w:t>emaining between study variance</w:t>
      </w:r>
    </w:p>
    <w:p w:rsidR="007070FA" w:rsidRDefault="004A427E"/>
    <w:sectPr w:rsidR="007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E"/>
    <w:rsid w:val="00291F4D"/>
    <w:rsid w:val="00306A68"/>
    <w:rsid w:val="004A427E"/>
    <w:rsid w:val="004D536E"/>
    <w:rsid w:val="004E3CD8"/>
    <w:rsid w:val="00533E5E"/>
    <w:rsid w:val="005A738C"/>
    <w:rsid w:val="0079499F"/>
    <w:rsid w:val="007E4360"/>
    <w:rsid w:val="008C64FC"/>
    <w:rsid w:val="00960878"/>
    <w:rsid w:val="009906F2"/>
    <w:rsid w:val="009D761E"/>
    <w:rsid w:val="00A40A54"/>
    <w:rsid w:val="00BC6AD8"/>
    <w:rsid w:val="00ED2E9C"/>
    <w:rsid w:val="00E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44DC7-5521-4129-9FD9-FB8E54B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6E"/>
  </w:style>
  <w:style w:type="paragraph" w:styleId="Heading1">
    <w:name w:val="heading 1"/>
    <w:basedOn w:val="Normal"/>
    <w:next w:val="Normal"/>
    <w:link w:val="Heading1Char"/>
    <w:uiPriority w:val="9"/>
    <w:qFormat/>
    <w:rsid w:val="008C64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4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4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4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4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4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4F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4F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4F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4F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4F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4F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4F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4F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4F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C64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4F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4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4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C64FC"/>
    <w:rPr>
      <w:b/>
      <w:bCs/>
    </w:rPr>
  </w:style>
  <w:style w:type="character" w:styleId="Emphasis">
    <w:name w:val="Emphasis"/>
    <w:basedOn w:val="DefaultParagraphFont"/>
    <w:uiPriority w:val="20"/>
    <w:qFormat/>
    <w:rsid w:val="008C64FC"/>
    <w:rPr>
      <w:i/>
      <w:iCs/>
    </w:rPr>
  </w:style>
  <w:style w:type="paragraph" w:styleId="NoSpacing">
    <w:name w:val="No Spacing"/>
    <w:uiPriority w:val="1"/>
    <w:qFormat/>
    <w:rsid w:val="008C6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4F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4F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4F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4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64F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C64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64F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64F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64F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C64FC"/>
    <w:pPr>
      <w:outlineLvl w:val="9"/>
    </w:pPr>
  </w:style>
  <w:style w:type="table" w:styleId="GridTable7Colorful">
    <w:name w:val="Grid Table 7 Colorful"/>
    <w:basedOn w:val="TableNormal"/>
    <w:uiPriority w:val="52"/>
    <w:rsid w:val="004D5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76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Farmer</dc:creator>
  <cp:keywords/>
  <dc:description/>
  <cp:lastModifiedBy>Ruth Farmer</cp:lastModifiedBy>
  <cp:revision>8</cp:revision>
  <dcterms:created xsi:type="dcterms:W3CDTF">2015-10-12T12:03:00Z</dcterms:created>
  <dcterms:modified xsi:type="dcterms:W3CDTF">2016-07-07T11:10:00Z</dcterms:modified>
</cp:coreProperties>
</file>