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AE" w:rsidRPr="00143509" w:rsidRDefault="00FE4BAE" w:rsidP="00FE4BAE">
      <w:pPr>
        <w:jc w:val="center"/>
        <w:rPr>
          <w:rFonts w:asciiTheme="minorHAnsi" w:hAnsiTheme="minorHAnsi" w:cstheme="minorHAnsi"/>
          <w:b/>
          <w:sz w:val="24"/>
          <w:szCs w:val="24"/>
          <w:u w:val="single"/>
        </w:rPr>
      </w:pPr>
      <w:r w:rsidRPr="00143509">
        <w:rPr>
          <w:rFonts w:asciiTheme="minorHAnsi" w:hAnsiTheme="minorHAnsi" w:cstheme="minorHAnsi"/>
          <w:b/>
          <w:sz w:val="24"/>
          <w:szCs w:val="24"/>
          <w:u w:val="single"/>
        </w:rPr>
        <w:t>Appendices</w:t>
      </w:r>
    </w:p>
    <w:sdt>
      <w:sdtPr>
        <w:rPr>
          <w:rFonts w:asciiTheme="minorHAnsi" w:eastAsiaTheme="minorHAnsi" w:hAnsiTheme="minorHAnsi" w:cstheme="minorHAnsi"/>
          <w:color w:val="auto"/>
          <w:sz w:val="20"/>
          <w:szCs w:val="22"/>
          <w:lang w:val="en-GB"/>
        </w:rPr>
        <w:id w:val="219409681"/>
        <w:docPartObj>
          <w:docPartGallery w:val="Table of Contents"/>
          <w:docPartUnique/>
        </w:docPartObj>
      </w:sdtPr>
      <w:sdtEndPr>
        <w:rPr>
          <w:b/>
          <w:bCs/>
          <w:noProof/>
          <w:sz w:val="24"/>
          <w:szCs w:val="24"/>
          <w:u w:val="single"/>
        </w:rPr>
      </w:sdtEndPr>
      <w:sdtContent>
        <w:p w:rsidR="00FE4BAE" w:rsidRPr="00143509" w:rsidRDefault="00022EA6" w:rsidP="00143509">
          <w:pPr>
            <w:pStyle w:val="TOCHeading"/>
            <w:spacing w:before="0"/>
            <w:rPr>
              <w:rFonts w:asciiTheme="minorHAnsi" w:hAnsiTheme="minorHAnsi" w:cstheme="minorHAnsi"/>
              <w:b/>
              <w:color w:val="auto"/>
              <w:sz w:val="24"/>
              <w:szCs w:val="24"/>
              <w:u w:val="single"/>
            </w:rPr>
          </w:pPr>
          <w:r w:rsidRPr="00143509">
            <w:rPr>
              <w:rFonts w:asciiTheme="minorHAnsi" w:hAnsiTheme="minorHAnsi" w:cstheme="minorHAnsi"/>
              <w:b/>
              <w:color w:val="auto"/>
              <w:sz w:val="24"/>
              <w:szCs w:val="24"/>
              <w:u w:val="single"/>
            </w:rPr>
            <w:t>Contents</w:t>
          </w:r>
        </w:p>
        <w:p w:rsidR="00143509" w:rsidRPr="00143509" w:rsidRDefault="00143509" w:rsidP="00143509">
          <w:pPr>
            <w:spacing w:after="0"/>
            <w:rPr>
              <w:rFonts w:asciiTheme="minorHAnsi" w:hAnsiTheme="minorHAnsi" w:cstheme="minorHAnsi"/>
              <w:sz w:val="10"/>
              <w:szCs w:val="10"/>
              <w:lang w:val="en-US"/>
            </w:rPr>
          </w:pPr>
        </w:p>
        <w:p w:rsidR="00143509" w:rsidRPr="00143509" w:rsidRDefault="00FE4BAE" w:rsidP="00143509">
          <w:pPr>
            <w:spacing w:after="0"/>
            <w:rPr>
              <w:rFonts w:asciiTheme="minorHAnsi" w:hAnsiTheme="minorHAnsi" w:cstheme="minorHAnsi"/>
              <w:b/>
              <w:lang w:val="en-US"/>
            </w:rPr>
          </w:pPr>
          <w:r w:rsidRPr="00143509">
            <w:rPr>
              <w:rFonts w:asciiTheme="minorHAnsi" w:hAnsiTheme="minorHAnsi" w:cstheme="minorHAnsi"/>
              <w:b/>
              <w:lang w:val="en-US"/>
            </w:rPr>
            <w:t xml:space="preserve">Appendices appear according to the order in which they </w:t>
          </w:r>
          <w:proofErr w:type="gramStart"/>
          <w:r w:rsidRPr="00143509">
            <w:rPr>
              <w:rFonts w:asciiTheme="minorHAnsi" w:hAnsiTheme="minorHAnsi" w:cstheme="minorHAnsi"/>
              <w:b/>
              <w:lang w:val="en-US"/>
            </w:rPr>
            <w:t>ar</w:t>
          </w:r>
          <w:r w:rsidR="00A44BFA" w:rsidRPr="00143509">
            <w:rPr>
              <w:rFonts w:asciiTheme="minorHAnsi" w:hAnsiTheme="minorHAnsi" w:cstheme="minorHAnsi"/>
              <w:b/>
              <w:lang w:val="en-US"/>
            </w:rPr>
            <w:t>e referenced</w:t>
          </w:r>
          <w:proofErr w:type="gramEnd"/>
          <w:r w:rsidR="00A44BFA" w:rsidRPr="00143509">
            <w:rPr>
              <w:rFonts w:asciiTheme="minorHAnsi" w:hAnsiTheme="minorHAnsi" w:cstheme="minorHAnsi"/>
              <w:b/>
              <w:lang w:val="en-US"/>
            </w:rPr>
            <w:t xml:space="preserve"> in the main text. </w:t>
          </w:r>
        </w:p>
        <w:p w:rsidR="00022EA6" w:rsidRPr="00143509" w:rsidRDefault="00FE4BAE" w:rsidP="00143509">
          <w:pPr>
            <w:spacing w:after="0"/>
            <w:rPr>
              <w:rFonts w:asciiTheme="minorHAnsi" w:hAnsiTheme="minorHAnsi" w:cstheme="minorHAnsi"/>
              <w:b/>
              <w:lang w:val="en-US"/>
            </w:rPr>
          </w:pPr>
        </w:p>
      </w:sdtContent>
    </w:sdt>
    <w:p w:rsidR="00143509" w:rsidRPr="00143509" w:rsidRDefault="00022EA6">
      <w:pPr>
        <w:pStyle w:val="TOC1"/>
        <w:tabs>
          <w:tab w:val="right" w:leader="dot" w:pos="9016"/>
        </w:tabs>
        <w:rPr>
          <w:rFonts w:asciiTheme="minorHAnsi" w:eastAsiaTheme="minorEastAsia" w:hAnsiTheme="minorHAnsi" w:cstheme="minorHAnsi"/>
          <w:noProof/>
          <w:sz w:val="22"/>
          <w:lang w:eastAsia="en-GB"/>
        </w:rPr>
      </w:pPr>
      <w:r w:rsidRPr="00143509">
        <w:rPr>
          <w:rFonts w:asciiTheme="minorHAnsi" w:hAnsiTheme="minorHAnsi" w:cstheme="minorHAnsi"/>
        </w:rPr>
        <w:fldChar w:fldCharType="begin"/>
      </w:r>
      <w:r w:rsidRPr="00143509">
        <w:rPr>
          <w:rFonts w:asciiTheme="minorHAnsi" w:hAnsiTheme="minorHAnsi" w:cstheme="minorHAnsi"/>
        </w:rPr>
        <w:instrText xml:space="preserve"> TOC \o "1-3" \h \z \u </w:instrText>
      </w:r>
      <w:r w:rsidRPr="00143509">
        <w:rPr>
          <w:rFonts w:asciiTheme="minorHAnsi" w:hAnsiTheme="minorHAnsi" w:cstheme="minorHAnsi"/>
        </w:rPr>
        <w:fldChar w:fldCharType="separate"/>
      </w:r>
      <w:hyperlink w:anchor="_Toc458091842" w:history="1">
        <w:r w:rsidR="00143509" w:rsidRPr="00143509">
          <w:rPr>
            <w:rStyle w:val="Hyperlink"/>
            <w:rFonts w:asciiTheme="minorHAnsi" w:hAnsiTheme="minorHAnsi" w:cstheme="minorHAnsi"/>
            <w:noProof/>
          </w:rPr>
          <w:t>Appendix 1: Indicators and benchmarks (thresholds) for global tracking of maternal healthcare provision</w:t>
        </w:r>
        <w:r w:rsidR="00143509" w:rsidRPr="00143509">
          <w:rPr>
            <w:rFonts w:asciiTheme="minorHAnsi" w:hAnsiTheme="minorHAnsi" w:cstheme="minorHAnsi"/>
            <w:noProof/>
            <w:webHidden/>
          </w:rPr>
          <w:tab/>
        </w:r>
        <w:r w:rsidR="00143509" w:rsidRPr="00143509">
          <w:rPr>
            <w:rFonts w:asciiTheme="minorHAnsi" w:hAnsiTheme="minorHAnsi" w:cstheme="minorHAnsi"/>
            <w:noProof/>
            <w:webHidden/>
          </w:rPr>
          <w:fldChar w:fldCharType="begin"/>
        </w:r>
        <w:r w:rsidR="00143509" w:rsidRPr="00143509">
          <w:rPr>
            <w:rFonts w:asciiTheme="minorHAnsi" w:hAnsiTheme="minorHAnsi" w:cstheme="minorHAnsi"/>
            <w:noProof/>
            <w:webHidden/>
          </w:rPr>
          <w:instrText xml:space="preserve"> PAGEREF _Toc458091842 \h </w:instrText>
        </w:r>
        <w:r w:rsidR="00143509" w:rsidRPr="00143509">
          <w:rPr>
            <w:rFonts w:asciiTheme="minorHAnsi" w:hAnsiTheme="minorHAnsi" w:cstheme="minorHAnsi"/>
            <w:noProof/>
            <w:webHidden/>
          </w:rPr>
        </w:r>
        <w:r w:rsidR="00143509" w:rsidRPr="00143509">
          <w:rPr>
            <w:rFonts w:asciiTheme="minorHAnsi" w:hAnsiTheme="minorHAnsi" w:cstheme="minorHAnsi"/>
            <w:noProof/>
            <w:webHidden/>
          </w:rPr>
          <w:fldChar w:fldCharType="separate"/>
        </w:r>
        <w:r w:rsidR="00143509" w:rsidRPr="00143509">
          <w:rPr>
            <w:rFonts w:asciiTheme="minorHAnsi" w:hAnsiTheme="minorHAnsi" w:cstheme="minorHAnsi"/>
            <w:noProof/>
            <w:webHidden/>
          </w:rPr>
          <w:t>2</w:t>
        </w:r>
        <w:r w:rsidR="00143509" w:rsidRPr="00143509">
          <w:rPr>
            <w:rFonts w:asciiTheme="minorHAnsi" w:hAnsiTheme="minorHAnsi" w:cstheme="minorHAnsi"/>
            <w:noProof/>
            <w:webHidden/>
          </w:rPr>
          <w:fldChar w:fldCharType="end"/>
        </w:r>
      </w:hyperlink>
    </w:p>
    <w:p w:rsidR="00143509" w:rsidRPr="00143509" w:rsidRDefault="00143509">
      <w:pPr>
        <w:pStyle w:val="TOC1"/>
        <w:tabs>
          <w:tab w:val="right" w:leader="dot" w:pos="9016"/>
        </w:tabs>
        <w:rPr>
          <w:rFonts w:asciiTheme="minorHAnsi" w:eastAsiaTheme="minorEastAsia" w:hAnsiTheme="minorHAnsi" w:cstheme="minorHAnsi"/>
          <w:noProof/>
          <w:sz w:val="22"/>
          <w:lang w:eastAsia="en-GB"/>
        </w:rPr>
      </w:pPr>
      <w:hyperlink w:anchor="_Toc458091843" w:history="1">
        <w:r w:rsidRPr="00143509">
          <w:rPr>
            <w:rStyle w:val="Hyperlink"/>
            <w:rFonts w:asciiTheme="minorHAnsi" w:hAnsiTheme="minorHAnsi" w:cstheme="minorHAnsi"/>
            <w:noProof/>
          </w:rPr>
          <w:t>Appendix 2: Beyond childbirth care: the status of other health services</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_Toc458091843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3</w:t>
        </w:r>
        <w:r w:rsidRPr="00143509">
          <w:rPr>
            <w:rFonts w:asciiTheme="minorHAnsi" w:hAnsiTheme="minorHAnsi" w:cstheme="minorHAnsi"/>
            <w:noProof/>
            <w:webHidden/>
          </w:rPr>
          <w:fldChar w:fldCharType="end"/>
        </w:r>
      </w:hyperlink>
    </w:p>
    <w:p w:rsidR="00143509" w:rsidRPr="00143509" w:rsidRDefault="00143509">
      <w:pPr>
        <w:pStyle w:val="TOC1"/>
        <w:tabs>
          <w:tab w:val="right" w:leader="dot" w:pos="9016"/>
        </w:tabs>
        <w:rPr>
          <w:rFonts w:asciiTheme="minorHAnsi" w:eastAsiaTheme="minorEastAsia" w:hAnsiTheme="minorHAnsi" w:cstheme="minorHAnsi"/>
          <w:noProof/>
          <w:sz w:val="22"/>
          <w:lang w:eastAsia="en-GB"/>
        </w:rPr>
      </w:pPr>
      <w:hyperlink w:anchor="_Toc458091844" w:history="1">
        <w:r w:rsidRPr="00143509">
          <w:rPr>
            <w:rStyle w:val="Hyperlink"/>
            <w:rFonts w:asciiTheme="minorHAnsi" w:hAnsiTheme="minorHAnsi" w:cstheme="minorHAnsi"/>
            <w:noProof/>
          </w:rPr>
          <w:t>Appendix 3: Methods</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_Toc458091844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5</w:t>
        </w:r>
        <w:r w:rsidRPr="00143509">
          <w:rPr>
            <w:rFonts w:asciiTheme="minorHAnsi" w:hAnsiTheme="minorHAnsi" w:cstheme="minorHAnsi"/>
            <w:noProof/>
            <w:webHidden/>
          </w:rPr>
          <w:fldChar w:fldCharType="end"/>
        </w:r>
      </w:hyperlink>
    </w:p>
    <w:p w:rsidR="00143509" w:rsidRPr="00143509" w:rsidRDefault="00143509">
      <w:pPr>
        <w:pStyle w:val="TOC2"/>
        <w:tabs>
          <w:tab w:val="right" w:leader="dot" w:pos="9016"/>
        </w:tabs>
        <w:rPr>
          <w:rFonts w:asciiTheme="minorHAnsi" w:eastAsiaTheme="minorEastAsia" w:hAnsiTheme="minorHAnsi" w:cstheme="minorHAnsi"/>
          <w:noProof/>
          <w:sz w:val="22"/>
          <w:lang w:eastAsia="en-GB"/>
        </w:rPr>
      </w:pPr>
      <w:hyperlink w:anchor="_Toc458091845" w:history="1">
        <w:r w:rsidRPr="00143509">
          <w:rPr>
            <w:rStyle w:val="Hyperlink"/>
            <w:rFonts w:asciiTheme="minorHAnsi" w:hAnsiTheme="minorHAnsi" w:cstheme="minorHAnsi"/>
            <w:noProof/>
          </w:rPr>
          <w:t>Where do births occur, and with whom: DHS data</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_Toc458091845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5</w:t>
        </w:r>
        <w:r w:rsidRPr="00143509">
          <w:rPr>
            <w:rFonts w:asciiTheme="minorHAnsi" w:hAnsiTheme="minorHAnsi" w:cstheme="minorHAnsi"/>
            <w:noProof/>
            <w:webHidden/>
          </w:rPr>
          <w:fldChar w:fldCharType="end"/>
        </w:r>
      </w:hyperlink>
    </w:p>
    <w:p w:rsidR="00143509" w:rsidRPr="00143509" w:rsidRDefault="00143509">
      <w:pPr>
        <w:pStyle w:val="TOC2"/>
        <w:tabs>
          <w:tab w:val="right" w:leader="dot" w:pos="9016"/>
        </w:tabs>
        <w:rPr>
          <w:rFonts w:asciiTheme="minorHAnsi" w:eastAsiaTheme="minorEastAsia" w:hAnsiTheme="minorHAnsi" w:cstheme="minorHAnsi"/>
          <w:noProof/>
          <w:sz w:val="22"/>
          <w:lang w:eastAsia="en-GB"/>
        </w:rPr>
      </w:pPr>
      <w:hyperlink w:anchor="_Toc458091846" w:history="1">
        <w:r w:rsidRPr="00143509">
          <w:rPr>
            <w:rStyle w:val="Hyperlink"/>
            <w:rFonts w:asciiTheme="minorHAnsi" w:hAnsiTheme="minorHAnsi" w:cstheme="minorHAnsi"/>
            <w:noProof/>
          </w:rPr>
          <w:t>Where do births occur, and with whom: Other data sources</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_Toc458091846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6</w:t>
        </w:r>
        <w:r w:rsidRPr="00143509">
          <w:rPr>
            <w:rFonts w:asciiTheme="minorHAnsi" w:hAnsiTheme="minorHAnsi" w:cstheme="minorHAnsi"/>
            <w:noProof/>
            <w:webHidden/>
          </w:rPr>
          <w:fldChar w:fldCharType="end"/>
        </w:r>
      </w:hyperlink>
    </w:p>
    <w:p w:rsidR="00143509" w:rsidRPr="00143509" w:rsidRDefault="00143509">
      <w:pPr>
        <w:pStyle w:val="TOC2"/>
        <w:tabs>
          <w:tab w:val="right" w:leader="dot" w:pos="9016"/>
        </w:tabs>
        <w:rPr>
          <w:rFonts w:asciiTheme="minorHAnsi" w:eastAsiaTheme="minorEastAsia" w:hAnsiTheme="minorHAnsi" w:cstheme="minorHAnsi"/>
          <w:noProof/>
          <w:sz w:val="22"/>
          <w:lang w:eastAsia="en-GB"/>
        </w:rPr>
      </w:pPr>
      <w:hyperlink w:anchor="_Toc458091847" w:history="1">
        <w:r w:rsidRPr="00143509">
          <w:rPr>
            <w:rStyle w:val="Hyperlink"/>
            <w:rFonts w:asciiTheme="minorHAnsi" w:hAnsiTheme="minorHAnsi" w:cstheme="minorHAnsi"/>
            <w:noProof/>
          </w:rPr>
          <w:t>Countries meeting or exceeding the threshold of 23 midwives, nurses or doctors per 10,000 population</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_Toc458091847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8</w:t>
        </w:r>
        <w:r w:rsidRPr="00143509">
          <w:rPr>
            <w:rFonts w:asciiTheme="minorHAnsi" w:hAnsiTheme="minorHAnsi" w:cstheme="minorHAnsi"/>
            <w:noProof/>
            <w:webHidden/>
          </w:rPr>
          <w:fldChar w:fldCharType="end"/>
        </w:r>
      </w:hyperlink>
    </w:p>
    <w:p w:rsidR="00143509" w:rsidRPr="00143509" w:rsidRDefault="00143509">
      <w:pPr>
        <w:pStyle w:val="TOC2"/>
        <w:tabs>
          <w:tab w:val="right" w:leader="dot" w:pos="9016"/>
        </w:tabs>
        <w:rPr>
          <w:rFonts w:asciiTheme="minorHAnsi" w:eastAsiaTheme="minorEastAsia" w:hAnsiTheme="minorHAnsi" w:cstheme="minorHAnsi"/>
          <w:noProof/>
          <w:sz w:val="22"/>
          <w:lang w:eastAsia="en-GB"/>
        </w:rPr>
      </w:pPr>
      <w:hyperlink w:anchor="_Toc458091848" w:history="1">
        <w:r w:rsidRPr="00143509">
          <w:rPr>
            <w:rStyle w:val="Hyperlink"/>
            <w:rFonts w:asciiTheme="minorHAnsi" w:hAnsiTheme="minorHAnsi" w:cstheme="minorHAnsi"/>
            <w:noProof/>
          </w:rPr>
          <w:t>Volume &amp; Capability of Facilities: Facility assessment Data</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_Toc458091848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9</w:t>
        </w:r>
        <w:r w:rsidRPr="00143509">
          <w:rPr>
            <w:rFonts w:asciiTheme="minorHAnsi" w:hAnsiTheme="minorHAnsi" w:cstheme="minorHAnsi"/>
            <w:noProof/>
            <w:webHidden/>
          </w:rPr>
          <w:fldChar w:fldCharType="end"/>
        </w:r>
      </w:hyperlink>
    </w:p>
    <w:p w:rsidR="00143509" w:rsidRPr="00143509" w:rsidRDefault="00143509">
      <w:pPr>
        <w:pStyle w:val="TOC2"/>
        <w:tabs>
          <w:tab w:val="right" w:leader="dot" w:pos="9016"/>
        </w:tabs>
        <w:rPr>
          <w:rFonts w:asciiTheme="minorHAnsi" w:eastAsiaTheme="minorEastAsia" w:hAnsiTheme="minorHAnsi" w:cstheme="minorHAnsi"/>
          <w:noProof/>
          <w:sz w:val="22"/>
          <w:lang w:eastAsia="en-GB"/>
        </w:rPr>
      </w:pPr>
      <w:hyperlink w:anchor="_Toc458091849" w:history="1">
        <w:r w:rsidRPr="00143509">
          <w:rPr>
            <w:rStyle w:val="Hyperlink"/>
            <w:rFonts w:asciiTheme="minorHAnsi" w:hAnsiTheme="minorHAnsi" w:cstheme="minorHAnsi"/>
            <w:noProof/>
          </w:rPr>
          <w:t>Telephone and motorized vehicle ownership</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_Toc458091849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11</w:t>
        </w:r>
        <w:r w:rsidRPr="00143509">
          <w:rPr>
            <w:rFonts w:asciiTheme="minorHAnsi" w:hAnsiTheme="minorHAnsi" w:cstheme="minorHAnsi"/>
            <w:noProof/>
            <w:webHidden/>
          </w:rPr>
          <w:fldChar w:fldCharType="end"/>
        </w:r>
      </w:hyperlink>
    </w:p>
    <w:p w:rsidR="00143509" w:rsidRPr="00143509" w:rsidRDefault="00143509">
      <w:pPr>
        <w:pStyle w:val="TOC1"/>
        <w:tabs>
          <w:tab w:val="right" w:leader="dot" w:pos="9016"/>
        </w:tabs>
        <w:rPr>
          <w:rFonts w:asciiTheme="minorHAnsi" w:eastAsiaTheme="minorEastAsia" w:hAnsiTheme="minorHAnsi" w:cstheme="minorHAnsi"/>
          <w:noProof/>
          <w:sz w:val="22"/>
          <w:lang w:eastAsia="en-GB"/>
        </w:rPr>
      </w:pPr>
      <w:hyperlink w:anchor="_Toc458091850" w:history="1">
        <w:r w:rsidRPr="00143509">
          <w:rPr>
            <w:rStyle w:val="Hyperlink"/>
            <w:rFonts w:asciiTheme="minorHAnsi" w:hAnsiTheme="minorHAnsi" w:cstheme="minorHAnsi"/>
            <w:noProof/>
          </w:rPr>
          <w:t>Appendix 4: Trends in facility deliveries by country &amp; year (1990-2014), nationally representative DHS data</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_Toc458091850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12</w:t>
        </w:r>
        <w:r w:rsidRPr="00143509">
          <w:rPr>
            <w:rFonts w:asciiTheme="minorHAnsi" w:hAnsiTheme="minorHAnsi" w:cstheme="minorHAnsi"/>
            <w:noProof/>
            <w:webHidden/>
          </w:rPr>
          <w:fldChar w:fldCharType="end"/>
        </w:r>
      </w:hyperlink>
    </w:p>
    <w:p w:rsidR="00143509" w:rsidRPr="00143509" w:rsidRDefault="00143509">
      <w:pPr>
        <w:pStyle w:val="TOC1"/>
        <w:tabs>
          <w:tab w:val="right" w:leader="dot" w:pos="9016"/>
        </w:tabs>
        <w:rPr>
          <w:rFonts w:asciiTheme="minorHAnsi" w:eastAsiaTheme="minorEastAsia" w:hAnsiTheme="minorHAnsi" w:cstheme="minorHAnsi"/>
          <w:noProof/>
          <w:sz w:val="22"/>
          <w:lang w:eastAsia="en-GB"/>
        </w:rPr>
      </w:pPr>
      <w:hyperlink w:anchor="_Toc458091851" w:history="1">
        <w:r w:rsidRPr="00143509">
          <w:rPr>
            <w:rStyle w:val="Hyperlink"/>
            <w:rFonts w:asciiTheme="minorHAnsi" w:hAnsiTheme="minorHAnsi" w:cstheme="minorHAnsi"/>
            <w:noProof/>
          </w:rPr>
          <w:t>Appendix 5: Distribution of a) facilities that conduct deliveries by annual number of deliveries, showing many facilities do &lt;100 deliveries per year and b) facility deliveries by annual number of deliveries showing small facilities do a small proportion of all deliveries</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_Toc458091851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13</w:t>
        </w:r>
        <w:r w:rsidRPr="00143509">
          <w:rPr>
            <w:rFonts w:asciiTheme="minorHAnsi" w:hAnsiTheme="minorHAnsi" w:cstheme="minorHAnsi"/>
            <w:noProof/>
            <w:webHidden/>
          </w:rPr>
          <w:fldChar w:fldCharType="end"/>
        </w:r>
      </w:hyperlink>
    </w:p>
    <w:p w:rsidR="00143509" w:rsidRPr="00143509" w:rsidRDefault="00143509">
      <w:pPr>
        <w:pStyle w:val="TOC1"/>
        <w:tabs>
          <w:tab w:val="right" w:leader="dot" w:pos="9016"/>
        </w:tabs>
        <w:rPr>
          <w:rFonts w:asciiTheme="minorHAnsi" w:eastAsiaTheme="minorEastAsia" w:hAnsiTheme="minorHAnsi" w:cstheme="minorHAnsi"/>
          <w:noProof/>
          <w:sz w:val="22"/>
          <w:lang w:eastAsia="en-GB"/>
        </w:rPr>
      </w:pPr>
      <w:hyperlink w:anchor="_Toc458091852" w:history="1">
        <w:r w:rsidRPr="00143509">
          <w:rPr>
            <w:rStyle w:val="Hyperlink"/>
            <w:rFonts w:asciiTheme="minorHAnsi" w:hAnsiTheme="minorHAnsi" w:cstheme="minorHAnsi"/>
            <w:noProof/>
          </w:rPr>
          <w:t>Appendix 6: Pie charts showing percentage of households in each cluster in red owning telephone (left) and motorized vehicles (right), Kenya Demographic and Health Survey, 2014</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_Toc458091852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14</w:t>
        </w:r>
        <w:r w:rsidRPr="00143509">
          <w:rPr>
            <w:rFonts w:asciiTheme="minorHAnsi" w:hAnsiTheme="minorHAnsi" w:cstheme="minorHAnsi"/>
            <w:noProof/>
            <w:webHidden/>
          </w:rPr>
          <w:fldChar w:fldCharType="end"/>
        </w:r>
      </w:hyperlink>
    </w:p>
    <w:p w:rsidR="00143509" w:rsidRPr="00143509" w:rsidRDefault="00143509">
      <w:pPr>
        <w:pStyle w:val="TOC1"/>
        <w:tabs>
          <w:tab w:val="right" w:leader="dot" w:pos="9016"/>
        </w:tabs>
        <w:rPr>
          <w:rFonts w:asciiTheme="minorHAnsi" w:eastAsiaTheme="minorEastAsia" w:hAnsiTheme="minorHAnsi" w:cstheme="minorHAnsi"/>
          <w:noProof/>
          <w:sz w:val="22"/>
          <w:lang w:eastAsia="en-GB"/>
        </w:rPr>
      </w:pPr>
      <w:hyperlink w:anchor="_Toc458091853" w:history="1">
        <w:r w:rsidRPr="00143509">
          <w:rPr>
            <w:rStyle w:val="Hyperlink"/>
            <w:rFonts w:asciiTheme="minorHAnsi" w:hAnsiTheme="minorHAnsi" w:cstheme="minorHAnsi"/>
            <w:noProof/>
          </w:rPr>
          <w:t>Appendix 8: Estimated percentage of seriously injured patients transported by ambulance, by country</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_Toc458091853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15</w:t>
        </w:r>
        <w:r w:rsidRPr="00143509">
          <w:rPr>
            <w:rFonts w:asciiTheme="minorHAnsi" w:hAnsiTheme="minorHAnsi" w:cstheme="minorHAnsi"/>
            <w:noProof/>
            <w:webHidden/>
          </w:rPr>
          <w:fldChar w:fldCharType="end"/>
        </w:r>
      </w:hyperlink>
    </w:p>
    <w:p w:rsidR="00143509" w:rsidRPr="00143509" w:rsidRDefault="00143509">
      <w:pPr>
        <w:pStyle w:val="TOC1"/>
        <w:tabs>
          <w:tab w:val="right" w:leader="dot" w:pos="9016"/>
        </w:tabs>
        <w:rPr>
          <w:rFonts w:asciiTheme="minorHAnsi" w:eastAsiaTheme="minorEastAsia" w:hAnsiTheme="minorHAnsi" w:cstheme="minorHAnsi"/>
          <w:noProof/>
          <w:sz w:val="22"/>
          <w:lang w:eastAsia="en-GB"/>
        </w:rPr>
      </w:pPr>
      <w:hyperlink w:anchor="_Toc458091854" w:history="1">
        <w:r w:rsidRPr="00143509">
          <w:rPr>
            <w:rStyle w:val="Hyperlink"/>
            <w:rFonts w:asciiTheme="minorHAnsi" w:hAnsiTheme="minorHAnsi" w:cstheme="minorHAnsi"/>
            <w:noProof/>
          </w:rPr>
          <w:t>Appendix 9: Existence of a universal access telephone number for pre-hospital care</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_Toc458091854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16</w:t>
        </w:r>
        <w:r w:rsidRPr="00143509">
          <w:rPr>
            <w:rFonts w:asciiTheme="minorHAnsi" w:hAnsiTheme="minorHAnsi" w:cstheme="minorHAnsi"/>
            <w:noProof/>
            <w:webHidden/>
          </w:rPr>
          <w:fldChar w:fldCharType="end"/>
        </w:r>
      </w:hyperlink>
    </w:p>
    <w:p w:rsidR="00143509" w:rsidRPr="00143509" w:rsidRDefault="00143509">
      <w:pPr>
        <w:pStyle w:val="TOC1"/>
        <w:tabs>
          <w:tab w:val="right" w:leader="dot" w:pos="9016"/>
        </w:tabs>
        <w:rPr>
          <w:rFonts w:asciiTheme="minorHAnsi" w:eastAsiaTheme="minorEastAsia" w:hAnsiTheme="minorHAnsi" w:cstheme="minorHAnsi"/>
          <w:noProof/>
          <w:sz w:val="22"/>
          <w:lang w:eastAsia="en-GB"/>
        </w:rPr>
      </w:pPr>
      <w:hyperlink w:anchor="_Toc458091855" w:history="1">
        <w:r w:rsidRPr="00143509">
          <w:rPr>
            <w:rStyle w:val="Hyperlink"/>
            <w:rFonts w:asciiTheme="minorHAnsi" w:hAnsiTheme="minorHAnsi" w:cstheme="minorHAnsi"/>
            <w:noProof/>
          </w:rPr>
          <w:t>References for appendices</w:t>
        </w:r>
        <w:r w:rsidRPr="00143509">
          <w:rPr>
            <w:rFonts w:asciiTheme="minorHAnsi" w:hAnsiTheme="minorHAnsi" w:cstheme="minorHAnsi"/>
            <w:noProof/>
            <w:webHidden/>
          </w:rPr>
          <w:tab/>
        </w:r>
        <w:r w:rsidRPr="00143509">
          <w:rPr>
            <w:rFonts w:asciiTheme="minorHAnsi" w:hAnsiTheme="minorHAnsi" w:cstheme="minorHAnsi"/>
            <w:noProof/>
            <w:webHidden/>
          </w:rPr>
          <w:fldChar w:fldCharType="begin"/>
        </w:r>
        <w:r w:rsidRPr="00143509">
          <w:rPr>
            <w:rFonts w:asciiTheme="minorHAnsi" w:hAnsiTheme="minorHAnsi" w:cstheme="minorHAnsi"/>
            <w:noProof/>
            <w:webHidden/>
          </w:rPr>
          <w:instrText xml:space="preserve"> PAGEREF _Toc458091855 \h </w:instrText>
        </w:r>
        <w:r w:rsidRPr="00143509">
          <w:rPr>
            <w:rFonts w:asciiTheme="minorHAnsi" w:hAnsiTheme="minorHAnsi" w:cstheme="minorHAnsi"/>
            <w:noProof/>
            <w:webHidden/>
          </w:rPr>
        </w:r>
        <w:r w:rsidRPr="00143509">
          <w:rPr>
            <w:rFonts w:asciiTheme="minorHAnsi" w:hAnsiTheme="minorHAnsi" w:cstheme="minorHAnsi"/>
            <w:noProof/>
            <w:webHidden/>
          </w:rPr>
          <w:fldChar w:fldCharType="separate"/>
        </w:r>
        <w:r w:rsidRPr="00143509">
          <w:rPr>
            <w:rFonts w:asciiTheme="minorHAnsi" w:hAnsiTheme="minorHAnsi" w:cstheme="minorHAnsi"/>
            <w:noProof/>
            <w:webHidden/>
          </w:rPr>
          <w:t>17</w:t>
        </w:r>
        <w:r w:rsidRPr="00143509">
          <w:rPr>
            <w:rFonts w:asciiTheme="minorHAnsi" w:hAnsiTheme="minorHAnsi" w:cstheme="minorHAnsi"/>
            <w:noProof/>
            <w:webHidden/>
          </w:rPr>
          <w:fldChar w:fldCharType="end"/>
        </w:r>
      </w:hyperlink>
    </w:p>
    <w:p w:rsidR="00022EA6" w:rsidRPr="00143509" w:rsidRDefault="00022EA6" w:rsidP="00FE4BAE">
      <w:pPr>
        <w:rPr>
          <w:rFonts w:asciiTheme="minorHAnsi" w:hAnsiTheme="minorHAnsi" w:cstheme="minorHAnsi"/>
        </w:rPr>
      </w:pPr>
      <w:r w:rsidRPr="00143509">
        <w:rPr>
          <w:rFonts w:asciiTheme="minorHAnsi" w:hAnsiTheme="minorHAnsi" w:cstheme="minorHAnsi"/>
          <w:b/>
          <w:bCs/>
          <w:noProof/>
        </w:rPr>
        <w:fldChar w:fldCharType="end"/>
      </w:r>
    </w:p>
    <w:p w:rsidR="00022EA6" w:rsidRPr="00143509" w:rsidRDefault="00022EA6" w:rsidP="00FE4BAE">
      <w:pPr>
        <w:spacing w:after="0" w:line="276" w:lineRule="auto"/>
        <w:jc w:val="both"/>
        <w:rPr>
          <w:rFonts w:asciiTheme="minorHAnsi" w:hAnsiTheme="minorHAnsi" w:cstheme="minorHAnsi"/>
          <w:szCs w:val="24"/>
        </w:rPr>
      </w:pPr>
    </w:p>
    <w:p w:rsidR="00022EA6" w:rsidRPr="00143509" w:rsidRDefault="00022EA6" w:rsidP="00FE4BAE">
      <w:pPr>
        <w:rPr>
          <w:rFonts w:asciiTheme="minorHAnsi" w:eastAsiaTheme="majorEastAsia" w:hAnsiTheme="minorHAnsi" w:cstheme="minorHAnsi"/>
          <w:b/>
          <w:sz w:val="24"/>
          <w:szCs w:val="24"/>
          <w:u w:val="single"/>
        </w:rPr>
      </w:pPr>
      <w:r w:rsidRPr="00143509">
        <w:rPr>
          <w:rFonts w:asciiTheme="minorHAnsi" w:hAnsiTheme="minorHAnsi" w:cstheme="minorHAnsi"/>
          <w:szCs w:val="24"/>
        </w:rPr>
        <w:br w:type="page"/>
      </w:r>
    </w:p>
    <w:tbl>
      <w:tblPr>
        <w:tblStyle w:val="TableGrid"/>
        <w:tblW w:w="0" w:type="auto"/>
        <w:tblInd w:w="-365" w:type="dxa"/>
        <w:tblLook w:val="04A0" w:firstRow="1" w:lastRow="0" w:firstColumn="1" w:lastColumn="0" w:noHBand="0" w:noVBand="1"/>
      </w:tblPr>
      <w:tblGrid>
        <w:gridCol w:w="2160"/>
        <w:gridCol w:w="3240"/>
        <w:gridCol w:w="3981"/>
      </w:tblGrid>
      <w:tr w:rsidR="00022EA6" w:rsidRPr="000E174F" w:rsidTr="00FE4BAE">
        <w:trPr>
          <w:trHeight w:val="937"/>
        </w:trPr>
        <w:tc>
          <w:tcPr>
            <w:tcW w:w="9381" w:type="dxa"/>
            <w:gridSpan w:val="3"/>
            <w:tcBorders>
              <w:top w:val="nil"/>
              <w:left w:val="nil"/>
              <w:bottom w:val="single" w:sz="4" w:space="0" w:color="auto"/>
              <w:right w:val="nil"/>
            </w:tcBorders>
          </w:tcPr>
          <w:p w:rsidR="00022EA6" w:rsidRPr="000E174F" w:rsidRDefault="00FE4BAE" w:rsidP="00FE4BAE">
            <w:pPr>
              <w:pStyle w:val="Heading1"/>
              <w:outlineLvl w:val="0"/>
              <w:rPr>
                <w:rFonts w:eastAsiaTheme="minorEastAsia" w:cstheme="minorHAnsi"/>
                <w:sz w:val="16"/>
                <w:szCs w:val="16"/>
                <w:lang w:bidi="en-US"/>
              </w:rPr>
            </w:pPr>
            <w:bookmarkStart w:id="0" w:name="_Toc458091842"/>
            <w:r>
              <w:lastRenderedPageBreak/>
              <w:t>Appendix</w:t>
            </w:r>
            <w:r w:rsidR="00022EA6">
              <w:t xml:space="preserve"> 1: </w:t>
            </w:r>
            <w:r w:rsidR="00022EA6" w:rsidRPr="00D819B8">
              <w:t xml:space="preserve">Indicators and benchmarks (thresholds) for </w:t>
            </w:r>
            <w:r w:rsidR="00022EA6" w:rsidRPr="00D819B8">
              <w:rPr>
                <w:rFonts w:cstheme="minorHAnsi"/>
                <w:szCs w:val="24"/>
              </w:rPr>
              <w:t>global tracking of maternal healthcare provision</w:t>
            </w:r>
            <w:bookmarkEnd w:id="0"/>
          </w:p>
        </w:tc>
      </w:tr>
      <w:tr w:rsidR="00022EA6" w:rsidRPr="000E174F" w:rsidTr="00FE4BAE">
        <w:tc>
          <w:tcPr>
            <w:tcW w:w="2160" w:type="dxa"/>
            <w:tcBorders>
              <w:bottom w:val="single" w:sz="4" w:space="0" w:color="auto"/>
            </w:tcBorders>
          </w:tcPr>
          <w:p w:rsidR="00022EA6" w:rsidRPr="000E174F" w:rsidRDefault="00022EA6" w:rsidP="00FE4BAE">
            <w:pPr>
              <w:pStyle w:val="NormalWeb"/>
              <w:spacing w:before="0" w:beforeAutospacing="0" w:after="0" w:afterAutospacing="0"/>
              <w:rPr>
                <w:rFonts w:asciiTheme="minorHAnsi" w:eastAsiaTheme="minorEastAsia" w:hAnsiTheme="minorHAnsi" w:cstheme="minorHAnsi"/>
                <w:b/>
                <w:sz w:val="16"/>
                <w:szCs w:val="16"/>
                <w:lang w:eastAsia="en-US" w:bidi="en-US"/>
              </w:rPr>
            </w:pPr>
            <w:r w:rsidRPr="000E174F">
              <w:rPr>
                <w:rFonts w:asciiTheme="minorHAnsi" w:eastAsiaTheme="minorEastAsia" w:hAnsiTheme="minorHAnsi" w:cstheme="minorHAnsi"/>
                <w:b/>
                <w:sz w:val="16"/>
                <w:szCs w:val="16"/>
                <w:lang w:eastAsia="en-US" w:bidi="en-US"/>
              </w:rPr>
              <w:t>INDICATOR</w:t>
            </w:r>
          </w:p>
        </w:tc>
        <w:tc>
          <w:tcPr>
            <w:tcW w:w="3240" w:type="dxa"/>
            <w:tcBorders>
              <w:bottom w:val="single" w:sz="4" w:space="0" w:color="auto"/>
            </w:tcBorders>
          </w:tcPr>
          <w:p w:rsidR="00022EA6" w:rsidRPr="000E174F" w:rsidRDefault="00022EA6" w:rsidP="00FE4BAE">
            <w:pPr>
              <w:pStyle w:val="NormalWeb"/>
              <w:spacing w:before="0" w:beforeAutospacing="0" w:after="0" w:afterAutospacing="0"/>
              <w:rPr>
                <w:rFonts w:asciiTheme="minorHAnsi" w:eastAsiaTheme="minorEastAsia" w:hAnsiTheme="minorHAnsi" w:cstheme="minorHAnsi"/>
                <w:b/>
                <w:sz w:val="16"/>
                <w:szCs w:val="16"/>
                <w:lang w:eastAsia="en-US" w:bidi="en-US"/>
              </w:rPr>
            </w:pPr>
            <w:r w:rsidRPr="000E174F">
              <w:rPr>
                <w:rFonts w:asciiTheme="minorHAnsi" w:eastAsiaTheme="minorEastAsia" w:hAnsiTheme="minorHAnsi" w:cstheme="minorHAnsi"/>
                <w:b/>
                <w:sz w:val="16"/>
                <w:szCs w:val="16"/>
                <w:lang w:eastAsia="en-US" w:bidi="en-US"/>
              </w:rPr>
              <w:t>Global (UN) benchmarks (thresholds)</w:t>
            </w:r>
          </w:p>
        </w:tc>
        <w:tc>
          <w:tcPr>
            <w:tcW w:w="3981" w:type="dxa"/>
            <w:tcBorders>
              <w:bottom w:val="single" w:sz="4" w:space="0" w:color="auto"/>
            </w:tcBorders>
          </w:tcPr>
          <w:p w:rsidR="00022EA6" w:rsidRPr="000E174F" w:rsidRDefault="00022EA6" w:rsidP="00FE4BAE">
            <w:pPr>
              <w:pStyle w:val="NormalWeb"/>
              <w:spacing w:before="0" w:beforeAutospacing="0" w:after="0" w:afterAutospacing="0"/>
              <w:rPr>
                <w:rFonts w:asciiTheme="minorHAnsi" w:eastAsiaTheme="minorEastAsia" w:hAnsiTheme="minorHAnsi" w:cstheme="minorHAnsi"/>
                <w:b/>
                <w:sz w:val="16"/>
                <w:szCs w:val="16"/>
                <w:lang w:eastAsia="en-US" w:bidi="en-US"/>
              </w:rPr>
            </w:pPr>
            <w:r w:rsidRPr="000E174F">
              <w:rPr>
                <w:rFonts w:asciiTheme="minorHAnsi" w:eastAsiaTheme="minorEastAsia" w:hAnsiTheme="minorHAnsi" w:cstheme="minorHAnsi"/>
                <w:b/>
                <w:sz w:val="16"/>
                <w:szCs w:val="16"/>
                <w:lang w:eastAsia="en-US" w:bidi="en-US"/>
              </w:rPr>
              <w:t>Examples of alternative benchmarks/ indicators used</w:t>
            </w:r>
          </w:p>
        </w:tc>
      </w:tr>
      <w:tr w:rsidR="00022EA6" w:rsidRPr="000E174F" w:rsidTr="00FE4BAE">
        <w:trPr>
          <w:trHeight w:val="196"/>
        </w:trPr>
        <w:tc>
          <w:tcPr>
            <w:tcW w:w="2160" w:type="dxa"/>
            <w:tcBorders>
              <w:bottom w:val="single" w:sz="4" w:space="0" w:color="auto"/>
              <w:right w:val="nil"/>
            </w:tcBorders>
            <w:shd w:val="clear" w:color="auto" w:fill="D0CECE" w:themeFill="background2" w:themeFillShade="E6"/>
          </w:tcPr>
          <w:p w:rsidR="00022EA6" w:rsidRPr="000E174F" w:rsidRDefault="00022EA6" w:rsidP="00FE4BAE">
            <w:pPr>
              <w:rPr>
                <w:rFonts w:asciiTheme="minorHAnsi" w:hAnsiTheme="minorHAnsi" w:cstheme="minorHAnsi"/>
                <w:b/>
                <w:sz w:val="16"/>
                <w:szCs w:val="16"/>
              </w:rPr>
            </w:pPr>
            <w:r w:rsidRPr="000E174F">
              <w:rPr>
                <w:rFonts w:asciiTheme="minorHAnsi" w:hAnsiTheme="minorHAnsi" w:cstheme="minorHAnsi"/>
                <w:b/>
                <w:sz w:val="16"/>
                <w:szCs w:val="16"/>
              </w:rPr>
              <w:t xml:space="preserve">Facility numbers </w:t>
            </w:r>
          </w:p>
        </w:tc>
        <w:tc>
          <w:tcPr>
            <w:tcW w:w="3240" w:type="dxa"/>
            <w:tcBorders>
              <w:left w:val="nil"/>
              <w:bottom w:val="single" w:sz="4" w:space="0" w:color="auto"/>
              <w:right w:val="nil"/>
            </w:tcBorders>
            <w:shd w:val="clear" w:color="auto" w:fill="D0CECE" w:themeFill="background2" w:themeFillShade="E6"/>
          </w:tcPr>
          <w:p w:rsidR="00022EA6" w:rsidRPr="000E174F" w:rsidRDefault="00022EA6" w:rsidP="00FE4BAE">
            <w:pPr>
              <w:pStyle w:val="NormalWeb"/>
              <w:spacing w:before="0" w:beforeAutospacing="0" w:after="0" w:afterAutospacing="0"/>
              <w:rPr>
                <w:rFonts w:asciiTheme="minorHAnsi" w:eastAsia="+mn-ea" w:hAnsiTheme="minorHAnsi" w:cstheme="minorHAnsi"/>
                <w:sz w:val="16"/>
                <w:szCs w:val="16"/>
              </w:rPr>
            </w:pPr>
          </w:p>
        </w:tc>
        <w:tc>
          <w:tcPr>
            <w:tcW w:w="3981" w:type="dxa"/>
            <w:tcBorders>
              <w:left w:val="nil"/>
              <w:bottom w:val="single" w:sz="4" w:space="0" w:color="auto"/>
            </w:tcBorders>
            <w:shd w:val="clear" w:color="auto" w:fill="D0CECE" w:themeFill="background2" w:themeFillShade="E6"/>
          </w:tcPr>
          <w:p w:rsidR="00022EA6" w:rsidRPr="000E174F" w:rsidRDefault="00022EA6" w:rsidP="00FE4BAE">
            <w:pPr>
              <w:rPr>
                <w:rFonts w:asciiTheme="minorHAnsi" w:hAnsiTheme="minorHAnsi" w:cstheme="minorHAnsi"/>
                <w:color w:val="000000"/>
                <w:sz w:val="16"/>
                <w:szCs w:val="16"/>
              </w:rPr>
            </w:pPr>
          </w:p>
        </w:tc>
      </w:tr>
      <w:tr w:rsidR="00022EA6" w:rsidRPr="000E174F" w:rsidTr="00FE4BAE">
        <w:trPr>
          <w:trHeight w:val="953"/>
        </w:trPr>
        <w:tc>
          <w:tcPr>
            <w:tcW w:w="2160" w:type="dxa"/>
            <w:tcBorders>
              <w:top w:val="single" w:sz="4" w:space="0" w:color="auto"/>
              <w:bottom w:val="single" w:sz="4" w:space="0" w:color="auto"/>
            </w:tcBorders>
          </w:tcPr>
          <w:p w:rsidR="00022EA6" w:rsidRPr="000E174F" w:rsidRDefault="00022EA6" w:rsidP="00FE4BAE">
            <w:pPr>
              <w:rPr>
                <w:rFonts w:asciiTheme="minorHAnsi" w:eastAsiaTheme="minorEastAsia" w:hAnsiTheme="minorHAnsi" w:cstheme="minorHAnsi"/>
                <w:sz w:val="16"/>
                <w:szCs w:val="16"/>
                <w:lang w:bidi="en-US"/>
              </w:rPr>
            </w:pPr>
            <w:r w:rsidRPr="000E174F">
              <w:rPr>
                <w:rFonts w:asciiTheme="minorHAnsi" w:hAnsiTheme="minorHAnsi" w:cstheme="minorHAnsi"/>
                <w:sz w:val="16"/>
                <w:szCs w:val="16"/>
              </w:rPr>
              <w:t>Numbers of EmOC facilities per births or population</w:t>
            </w:r>
          </w:p>
        </w:tc>
        <w:tc>
          <w:tcPr>
            <w:tcW w:w="3240"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5 EmOC facilities per 20,000 births (500,000 population) of which at least 1 CEmOC,</w:t>
            </w:r>
            <w:r w:rsidRPr="009876EA">
              <w:rPr>
                <w:rFonts w:eastAsia="+mn-ea" w:cstheme="minorHAnsi"/>
                <w:noProof/>
                <w:sz w:val="16"/>
                <w:szCs w:val="16"/>
                <w:vertAlign w:val="superscript"/>
              </w:rPr>
              <w:t>1, 2</w:t>
            </w:r>
            <w:r w:rsidRPr="000E174F">
              <w:rPr>
                <w:rFonts w:eastAsia="+mn-ea" w:cstheme="minorHAnsi"/>
                <w:sz w:val="16"/>
                <w:szCs w:val="16"/>
              </w:rPr>
              <w:t xml:space="preserve"> national and subnational</w:t>
            </w:r>
          </w:p>
          <w:p w:rsidR="00022EA6" w:rsidRPr="006468FB" w:rsidRDefault="00022EA6" w:rsidP="00FE4BAE">
            <w:pPr>
              <w:pStyle w:val="ListParagraph"/>
              <w:numPr>
                <w:ilvl w:val="0"/>
                <w:numId w:val="7"/>
              </w:numPr>
              <w:ind w:left="272" w:hanging="244"/>
              <w:rPr>
                <w:rFonts w:eastAsia="+mn-ea" w:cstheme="minorHAnsi"/>
                <w:b/>
                <w:sz w:val="16"/>
                <w:szCs w:val="16"/>
              </w:rPr>
            </w:pPr>
            <w:r w:rsidRPr="000E174F">
              <w:rPr>
                <w:rFonts w:eastAsia="+mn-ea" w:cstheme="minorHAnsi"/>
                <w:sz w:val="16"/>
                <w:szCs w:val="16"/>
              </w:rPr>
              <w:t>2-3+ EmOC facilities per 3,600 births (11+ per 20,000 births), of which at least 1 CEmOC</w:t>
            </w:r>
            <w:r w:rsidRPr="009876EA">
              <w:rPr>
                <w:rFonts w:eastAsia="+mn-ea" w:cstheme="minorHAnsi"/>
                <w:noProof/>
                <w:sz w:val="16"/>
                <w:szCs w:val="16"/>
                <w:vertAlign w:val="superscript"/>
              </w:rPr>
              <w:t>3</w:t>
            </w:r>
            <w:r w:rsidRPr="006468FB">
              <w:rPr>
                <w:rFonts w:cstheme="minorHAnsi"/>
                <w:sz w:val="16"/>
                <w:szCs w:val="16"/>
              </w:rPr>
              <w:t xml:space="preserve"> </w:t>
            </w:r>
          </w:p>
          <w:p w:rsidR="00022EA6" w:rsidRPr="000E174F" w:rsidRDefault="00022EA6" w:rsidP="00FE4BAE">
            <w:pPr>
              <w:pStyle w:val="ListParagraph"/>
              <w:numPr>
                <w:ilvl w:val="0"/>
                <w:numId w:val="7"/>
              </w:numPr>
              <w:ind w:left="272" w:hanging="244"/>
              <w:rPr>
                <w:rFonts w:eastAsia="+mn-ea" w:cstheme="minorHAnsi"/>
                <w:b/>
                <w:sz w:val="16"/>
                <w:szCs w:val="16"/>
              </w:rPr>
            </w:pPr>
            <w:r w:rsidRPr="006468FB">
              <w:rPr>
                <w:rFonts w:cstheme="minorHAnsi"/>
                <w:sz w:val="16"/>
                <w:szCs w:val="16"/>
              </w:rPr>
              <w:t>Neither UN benchmark is explicit about the number (or proportion) of deliveries, such facilities are expected to conduct.</w:t>
            </w:r>
            <w:r w:rsidRPr="009876EA">
              <w:rPr>
                <w:rFonts w:cstheme="minorHAnsi"/>
                <w:noProof/>
                <w:sz w:val="16"/>
                <w:szCs w:val="16"/>
                <w:vertAlign w:val="superscript"/>
              </w:rPr>
              <w:t>4, 5</w:t>
            </w:r>
          </w:p>
        </w:tc>
        <w:tc>
          <w:tcPr>
            <w:tcW w:w="3981" w:type="dxa"/>
            <w:tcBorders>
              <w:top w:val="single" w:sz="4" w:space="0" w:color="auto"/>
              <w:bottom w:val="single" w:sz="4" w:space="0" w:color="auto"/>
            </w:tcBorders>
          </w:tcPr>
          <w:p w:rsidR="00022EA6" w:rsidRPr="006468FB" w:rsidRDefault="00022EA6" w:rsidP="00FE4BAE">
            <w:pPr>
              <w:jc w:val="both"/>
              <w:rPr>
                <w:rFonts w:asciiTheme="minorHAnsi" w:eastAsiaTheme="minorEastAsia" w:hAnsiTheme="minorHAnsi" w:cstheme="minorHAnsi"/>
                <w:sz w:val="16"/>
                <w:szCs w:val="16"/>
                <w:lang w:bidi="en-US"/>
              </w:rPr>
            </w:pPr>
          </w:p>
        </w:tc>
      </w:tr>
      <w:tr w:rsidR="00022EA6" w:rsidRPr="000E174F" w:rsidTr="00FE4BAE">
        <w:trPr>
          <w:trHeight w:val="176"/>
        </w:trPr>
        <w:tc>
          <w:tcPr>
            <w:tcW w:w="0" w:type="auto"/>
            <w:gridSpan w:val="3"/>
            <w:tcBorders>
              <w:top w:val="single" w:sz="4" w:space="0" w:color="auto"/>
              <w:bottom w:val="single" w:sz="4" w:space="0" w:color="auto"/>
            </w:tcBorders>
            <w:shd w:val="clear" w:color="auto" w:fill="D0CECE" w:themeFill="background2" w:themeFillShade="E6"/>
          </w:tcPr>
          <w:p w:rsidR="00022EA6" w:rsidRPr="000E174F" w:rsidRDefault="00022EA6" w:rsidP="00FE4BAE">
            <w:pPr>
              <w:rPr>
                <w:rFonts w:asciiTheme="minorHAnsi" w:eastAsiaTheme="minorEastAsia" w:hAnsiTheme="minorHAnsi" w:cstheme="minorHAnsi"/>
                <w:b/>
                <w:sz w:val="16"/>
                <w:szCs w:val="16"/>
                <w:lang w:bidi="en-US"/>
              </w:rPr>
            </w:pPr>
            <w:r w:rsidRPr="000E174F">
              <w:rPr>
                <w:rFonts w:asciiTheme="minorHAnsi" w:eastAsiaTheme="minorEastAsia" w:hAnsiTheme="minorHAnsi" w:cstheme="minorHAnsi"/>
                <w:b/>
                <w:sz w:val="16"/>
                <w:szCs w:val="16"/>
                <w:lang w:bidi="en-US"/>
              </w:rPr>
              <w:t>Facility size (volume and beds)</w:t>
            </w:r>
          </w:p>
        </w:tc>
      </w:tr>
      <w:tr w:rsidR="00022EA6" w:rsidRPr="000E174F" w:rsidTr="00FE4BAE">
        <w:trPr>
          <w:trHeight w:val="314"/>
        </w:trPr>
        <w:tc>
          <w:tcPr>
            <w:tcW w:w="2160" w:type="dxa"/>
            <w:tcBorders>
              <w:top w:val="single" w:sz="4" w:space="0" w:color="auto"/>
              <w:bottom w:val="single" w:sz="4" w:space="0" w:color="auto"/>
            </w:tcBorders>
          </w:tcPr>
          <w:p w:rsidR="00022EA6" w:rsidRPr="000E174F" w:rsidRDefault="00022EA6" w:rsidP="00FE4BAE">
            <w:pPr>
              <w:rPr>
                <w:rFonts w:asciiTheme="minorHAnsi" w:eastAsiaTheme="minorEastAsia" w:hAnsiTheme="minorHAnsi" w:cstheme="minorHAnsi"/>
                <w:b/>
                <w:sz w:val="16"/>
                <w:szCs w:val="16"/>
                <w:lang w:bidi="en-US"/>
              </w:rPr>
            </w:pPr>
            <w:r w:rsidRPr="000E174F">
              <w:rPr>
                <w:rFonts w:asciiTheme="minorHAnsi" w:hAnsiTheme="minorHAnsi" w:cstheme="minorHAnsi"/>
                <w:sz w:val="16"/>
                <w:szCs w:val="16"/>
              </w:rPr>
              <w:t>Numbers of hospital beds per births</w:t>
            </w:r>
          </w:p>
        </w:tc>
        <w:tc>
          <w:tcPr>
            <w:tcW w:w="3240"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60-90 beds per 3000-3600 births (33-60 births per bed)</w:t>
            </w:r>
            <w:r w:rsidRPr="009876EA">
              <w:rPr>
                <w:rFonts w:eastAsia="+mn-ea" w:cstheme="minorHAnsi"/>
                <w:noProof/>
                <w:sz w:val="16"/>
                <w:szCs w:val="16"/>
                <w:vertAlign w:val="superscript"/>
              </w:rPr>
              <w:t>3</w:t>
            </w:r>
            <w:r w:rsidRPr="000E174F">
              <w:rPr>
                <w:rFonts w:eastAsia="+mn-ea" w:cstheme="minorHAnsi"/>
                <w:sz w:val="16"/>
                <w:szCs w:val="16"/>
              </w:rPr>
              <w:t xml:space="preserve"> </w:t>
            </w:r>
          </w:p>
        </w:tc>
        <w:tc>
          <w:tcPr>
            <w:tcW w:w="3981" w:type="dxa"/>
            <w:tcBorders>
              <w:top w:val="single" w:sz="4" w:space="0" w:color="auto"/>
              <w:bottom w:val="single" w:sz="4" w:space="0" w:color="auto"/>
            </w:tcBorders>
          </w:tcPr>
          <w:p w:rsidR="00022EA6" w:rsidRPr="000E174F" w:rsidRDefault="00022EA6" w:rsidP="00FE4BAE">
            <w:pPr>
              <w:rPr>
                <w:rFonts w:asciiTheme="minorHAnsi" w:eastAsia="+mn-ea" w:hAnsiTheme="minorHAnsi" w:cstheme="minorHAnsi"/>
                <w:sz w:val="16"/>
                <w:szCs w:val="16"/>
              </w:rPr>
            </w:pPr>
          </w:p>
        </w:tc>
      </w:tr>
      <w:tr w:rsidR="00022EA6" w:rsidRPr="000E174F" w:rsidTr="00FE4BAE">
        <w:trPr>
          <w:trHeight w:val="268"/>
        </w:trPr>
        <w:tc>
          <w:tcPr>
            <w:tcW w:w="2160" w:type="dxa"/>
            <w:tcBorders>
              <w:top w:val="single" w:sz="4" w:space="0" w:color="auto"/>
              <w:bottom w:val="single" w:sz="4" w:space="0" w:color="auto"/>
            </w:tcBorders>
          </w:tcPr>
          <w:p w:rsidR="00022EA6" w:rsidRPr="000E174F" w:rsidRDefault="00022EA6" w:rsidP="00FE4BAE">
            <w:pPr>
              <w:rPr>
                <w:rFonts w:asciiTheme="minorHAnsi" w:hAnsiTheme="minorHAnsi" w:cstheme="minorHAnsi"/>
                <w:sz w:val="16"/>
                <w:szCs w:val="16"/>
              </w:rPr>
            </w:pPr>
            <w:r w:rsidRPr="000E174F">
              <w:rPr>
                <w:rFonts w:asciiTheme="minorHAnsi" w:hAnsiTheme="minorHAnsi" w:cstheme="minorHAnsi"/>
                <w:sz w:val="16"/>
                <w:szCs w:val="16"/>
              </w:rPr>
              <w:t xml:space="preserve">Births per facility </w:t>
            </w:r>
          </w:p>
        </w:tc>
        <w:tc>
          <w:tcPr>
            <w:tcW w:w="3240"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1,200 births per facility (ideal minimum to be safe &amp;cost-effective)</w:t>
            </w:r>
            <w:r w:rsidRPr="009876EA">
              <w:rPr>
                <w:rFonts w:eastAsia="+mn-ea" w:cstheme="minorHAnsi"/>
                <w:noProof/>
                <w:sz w:val="16"/>
                <w:szCs w:val="16"/>
                <w:vertAlign w:val="superscript"/>
              </w:rPr>
              <w:t>6</w:t>
            </w:r>
            <w:r w:rsidRPr="000E174F">
              <w:rPr>
                <w:rFonts w:eastAsia="+mn-ea" w:cstheme="minorHAnsi"/>
                <w:sz w:val="16"/>
                <w:szCs w:val="16"/>
              </w:rPr>
              <w:t xml:space="preserve"> </w:t>
            </w:r>
          </w:p>
        </w:tc>
        <w:tc>
          <w:tcPr>
            <w:tcW w:w="3981"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500 births per facility</w:t>
            </w:r>
            <w:r w:rsidRPr="009876EA">
              <w:rPr>
                <w:rFonts w:eastAsia="+mn-ea" w:cstheme="minorHAnsi"/>
                <w:noProof/>
                <w:sz w:val="16"/>
                <w:szCs w:val="16"/>
                <w:vertAlign w:val="superscript"/>
              </w:rPr>
              <w:t>6</w:t>
            </w:r>
          </w:p>
        </w:tc>
      </w:tr>
      <w:tr w:rsidR="00022EA6" w:rsidRPr="000E174F" w:rsidTr="00FE4BAE">
        <w:trPr>
          <w:trHeight w:val="135"/>
        </w:trPr>
        <w:tc>
          <w:tcPr>
            <w:tcW w:w="2160" w:type="dxa"/>
            <w:tcBorders>
              <w:top w:val="single" w:sz="4" w:space="0" w:color="auto"/>
              <w:bottom w:val="single" w:sz="4" w:space="0" w:color="auto"/>
              <w:right w:val="nil"/>
            </w:tcBorders>
            <w:shd w:val="clear" w:color="auto" w:fill="D0CECE" w:themeFill="background2" w:themeFillShade="E6"/>
          </w:tcPr>
          <w:p w:rsidR="00022EA6" w:rsidRPr="000E174F" w:rsidRDefault="00022EA6" w:rsidP="00FE4BAE">
            <w:pPr>
              <w:rPr>
                <w:rFonts w:asciiTheme="minorHAnsi" w:hAnsiTheme="minorHAnsi" w:cstheme="minorHAnsi"/>
                <w:b/>
                <w:sz w:val="16"/>
                <w:szCs w:val="16"/>
              </w:rPr>
            </w:pPr>
            <w:r w:rsidRPr="000E174F">
              <w:rPr>
                <w:rFonts w:asciiTheme="minorHAnsi" w:eastAsia="+mn-ea" w:hAnsiTheme="minorHAnsi" w:cstheme="minorHAnsi"/>
                <w:b/>
                <w:sz w:val="16"/>
                <w:szCs w:val="16"/>
              </w:rPr>
              <w:t>Length-of-stay in facilities</w:t>
            </w:r>
          </w:p>
        </w:tc>
        <w:tc>
          <w:tcPr>
            <w:tcW w:w="3240" w:type="dxa"/>
            <w:tcBorders>
              <w:top w:val="single" w:sz="4" w:space="0" w:color="auto"/>
              <w:left w:val="nil"/>
              <w:bottom w:val="single" w:sz="4" w:space="0" w:color="auto"/>
              <w:right w:val="nil"/>
            </w:tcBorders>
            <w:shd w:val="clear" w:color="auto" w:fill="D0CECE" w:themeFill="background2" w:themeFillShade="E6"/>
          </w:tcPr>
          <w:p w:rsidR="00022EA6" w:rsidRPr="000E174F" w:rsidRDefault="00022EA6" w:rsidP="00FE4BAE">
            <w:pPr>
              <w:pStyle w:val="NormalWeb"/>
              <w:spacing w:before="0" w:beforeAutospacing="0" w:after="0" w:afterAutospacing="0"/>
              <w:rPr>
                <w:rFonts w:asciiTheme="minorHAnsi" w:eastAsia="+mn-ea" w:hAnsiTheme="minorHAnsi" w:cstheme="minorHAnsi"/>
                <w:sz w:val="16"/>
                <w:szCs w:val="16"/>
              </w:rPr>
            </w:pPr>
          </w:p>
        </w:tc>
        <w:tc>
          <w:tcPr>
            <w:tcW w:w="3981" w:type="dxa"/>
            <w:tcBorders>
              <w:top w:val="single" w:sz="4" w:space="0" w:color="auto"/>
              <w:left w:val="nil"/>
              <w:bottom w:val="single" w:sz="4" w:space="0" w:color="auto"/>
            </w:tcBorders>
            <w:shd w:val="clear" w:color="auto" w:fill="D0CECE" w:themeFill="background2" w:themeFillShade="E6"/>
          </w:tcPr>
          <w:p w:rsidR="00022EA6" w:rsidRPr="000E174F" w:rsidRDefault="00022EA6" w:rsidP="00FE4BAE">
            <w:pPr>
              <w:rPr>
                <w:rFonts w:asciiTheme="minorHAnsi" w:hAnsiTheme="minorHAnsi" w:cstheme="minorHAnsi"/>
                <w:color w:val="000000"/>
                <w:sz w:val="16"/>
                <w:szCs w:val="16"/>
              </w:rPr>
            </w:pPr>
          </w:p>
        </w:tc>
      </w:tr>
      <w:tr w:rsidR="00022EA6" w:rsidRPr="000E174F" w:rsidTr="00FE4BAE">
        <w:trPr>
          <w:trHeight w:val="307"/>
        </w:trPr>
        <w:tc>
          <w:tcPr>
            <w:tcW w:w="2160" w:type="dxa"/>
            <w:tcBorders>
              <w:top w:val="single" w:sz="4" w:space="0" w:color="auto"/>
              <w:bottom w:val="single" w:sz="4" w:space="0" w:color="auto"/>
            </w:tcBorders>
          </w:tcPr>
          <w:p w:rsidR="00022EA6" w:rsidRPr="000E174F" w:rsidRDefault="00022EA6" w:rsidP="00FE4BAE">
            <w:pPr>
              <w:rPr>
                <w:rFonts w:asciiTheme="minorHAnsi" w:eastAsiaTheme="minorEastAsia" w:hAnsiTheme="minorHAnsi" w:cstheme="minorHAnsi"/>
                <w:sz w:val="16"/>
                <w:szCs w:val="16"/>
                <w:lang w:bidi="en-US"/>
              </w:rPr>
            </w:pPr>
            <w:r w:rsidRPr="000E174F">
              <w:rPr>
                <w:rFonts w:asciiTheme="minorHAnsi" w:eastAsia="Times New Roman" w:hAnsiTheme="minorHAnsi" w:cstheme="minorHAnsi"/>
                <w:sz w:val="16"/>
                <w:szCs w:val="16"/>
              </w:rPr>
              <w:t>Leng</w:t>
            </w:r>
            <w:r>
              <w:rPr>
                <w:rFonts w:asciiTheme="minorHAnsi" w:eastAsia="Times New Roman" w:hAnsiTheme="minorHAnsi" w:cstheme="minorHAnsi"/>
                <w:sz w:val="16"/>
                <w:szCs w:val="16"/>
              </w:rPr>
              <w:t>th-of-stay after normal delivery</w:t>
            </w:r>
          </w:p>
        </w:tc>
        <w:tc>
          <w:tcPr>
            <w:tcW w:w="3240"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All women stay at least 24 hours postpartum</w:t>
            </w:r>
            <w:r>
              <w:rPr>
                <w:rFonts w:eastAsia="+mn-ea" w:cstheme="minorHAnsi"/>
                <w:noProof/>
                <w:sz w:val="16"/>
                <w:szCs w:val="16"/>
                <w:vertAlign w:val="superscript"/>
              </w:rPr>
              <w:t>7</w:t>
            </w:r>
          </w:p>
        </w:tc>
        <w:tc>
          <w:tcPr>
            <w:tcW w:w="3981"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 xml:space="preserve">All women stay at least 12 hours (MICS, UNICEF) </w:t>
            </w:r>
            <w:r w:rsidRPr="009876EA">
              <w:rPr>
                <w:rFonts w:eastAsia="+mn-ea" w:cstheme="minorHAnsi"/>
                <w:noProof/>
                <w:sz w:val="16"/>
                <w:szCs w:val="16"/>
                <w:vertAlign w:val="superscript"/>
              </w:rPr>
              <w:t>8</w:t>
            </w:r>
          </w:p>
        </w:tc>
      </w:tr>
      <w:tr w:rsidR="00022EA6" w:rsidRPr="000E174F" w:rsidTr="00FE4BAE">
        <w:trPr>
          <w:trHeight w:val="154"/>
        </w:trPr>
        <w:tc>
          <w:tcPr>
            <w:tcW w:w="2160" w:type="dxa"/>
            <w:tcBorders>
              <w:top w:val="single" w:sz="4" w:space="0" w:color="auto"/>
              <w:right w:val="nil"/>
            </w:tcBorders>
            <w:shd w:val="clear" w:color="auto" w:fill="D0CECE" w:themeFill="background2" w:themeFillShade="E6"/>
          </w:tcPr>
          <w:p w:rsidR="00022EA6" w:rsidRPr="000E174F" w:rsidRDefault="00022EA6" w:rsidP="00FE4BAE">
            <w:pPr>
              <w:rPr>
                <w:rFonts w:asciiTheme="minorHAnsi" w:eastAsiaTheme="minorEastAsia" w:hAnsiTheme="minorHAnsi" w:cstheme="minorHAnsi"/>
                <w:sz w:val="16"/>
                <w:szCs w:val="16"/>
                <w:lang w:bidi="en-US"/>
              </w:rPr>
            </w:pPr>
            <w:r w:rsidRPr="000E174F">
              <w:rPr>
                <w:rFonts w:asciiTheme="minorHAnsi" w:eastAsiaTheme="minorEastAsia" w:hAnsiTheme="minorHAnsi" w:cstheme="minorHAnsi"/>
                <w:b/>
                <w:sz w:val="16"/>
                <w:szCs w:val="16"/>
                <w:lang w:bidi="en-US"/>
              </w:rPr>
              <w:t>Staffing/cadres</w:t>
            </w:r>
          </w:p>
        </w:tc>
        <w:tc>
          <w:tcPr>
            <w:tcW w:w="3240" w:type="dxa"/>
            <w:tcBorders>
              <w:top w:val="single" w:sz="4" w:space="0" w:color="auto"/>
              <w:left w:val="nil"/>
              <w:right w:val="nil"/>
            </w:tcBorders>
            <w:shd w:val="clear" w:color="auto" w:fill="D0CECE" w:themeFill="background2" w:themeFillShade="E6"/>
          </w:tcPr>
          <w:p w:rsidR="00022EA6" w:rsidRPr="000E174F" w:rsidRDefault="00022EA6" w:rsidP="00FE4BAE">
            <w:pPr>
              <w:pStyle w:val="NormalWeb"/>
              <w:spacing w:before="0" w:beforeAutospacing="0" w:after="0" w:afterAutospacing="0"/>
              <w:rPr>
                <w:rFonts w:asciiTheme="minorHAnsi" w:eastAsia="+mn-ea" w:hAnsiTheme="minorHAnsi" w:cstheme="minorHAnsi"/>
                <w:sz w:val="16"/>
                <w:szCs w:val="16"/>
              </w:rPr>
            </w:pPr>
          </w:p>
        </w:tc>
        <w:tc>
          <w:tcPr>
            <w:tcW w:w="3981" w:type="dxa"/>
            <w:tcBorders>
              <w:top w:val="single" w:sz="4" w:space="0" w:color="auto"/>
              <w:left w:val="nil"/>
            </w:tcBorders>
            <w:shd w:val="clear" w:color="auto" w:fill="D0CECE" w:themeFill="background2" w:themeFillShade="E6"/>
          </w:tcPr>
          <w:p w:rsidR="00022EA6" w:rsidRPr="000E174F" w:rsidRDefault="00022EA6" w:rsidP="00FE4BAE">
            <w:pPr>
              <w:rPr>
                <w:rFonts w:asciiTheme="minorHAnsi" w:hAnsiTheme="minorHAnsi" w:cstheme="minorHAnsi"/>
                <w:color w:val="000000"/>
                <w:sz w:val="16"/>
                <w:szCs w:val="16"/>
              </w:rPr>
            </w:pPr>
          </w:p>
        </w:tc>
      </w:tr>
      <w:tr w:rsidR="00022EA6" w:rsidRPr="000E174F" w:rsidTr="00FE4BAE">
        <w:trPr>
          <w:trHeight w:val="1664"/>
        </w:trPr>
        <w:tc>
          <w:tcPr>
            <w:tcW w:w="2160" w:type="dxa"/>
            <w:tcBorders>
              <w:top w:val="single" w:sz="4" w:space="0" w:color="auto"/>
              <w:bottom w:val="single" w:sz="4" w:space="0" w:color="auto"/>
            </w:tcBorders>
          </w:tcPr>
          <w:p w:rsidR="00022EA6" w:rsidRPr="000E174F" w:rsidRDefault="00022EA6" w:rsidP="00FE4BAE">
            <w:pPr>
              <w:rPr>
                <w:rFonts w:asciiTheme="minorHAnsi" w:hAnsiTheme="minorHAnsi" w:cstheme="minorHAnsi"/>
                <w:sz w:val="16"/>
              </w:rPr>
            </w:pPr>
            <w:r w:rsidRPr="000E174F">
              <w:rPr>
                <w:rFonts w:asciiTheme="minorHAnsi" w:hAnsiTheme="minorHAnsi" w:cstheme="minorHAnsi"/>
                <w:sz w:val="16"/>
              </w:rPr>
              <w:t>Midwives and doctors</w:t>
            </w:r>
            <w:r w:rsidRPr="000E174F">
              <w:rPr>
                <w:rFonts w:asciiTheme="minorHAnsi" w:eastAsiaTheme="minorEastAsia" w:hAnsiTheme="minorHAnsi" w:cstheme="minorHAnsi"/>
                <w:sz w:val="16"/>
                <w:szCs w:val="16"/>
                <w:lang w:bidi="en-US"/>
              </w:rPr>
              <w:t xml:space="preserve"> per births</w:t>
            </w:r>
          </w:p>
        </w:tc>
        <w:tc>
          <w:tcPr>
            <w:tcW w:w="3240"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6 midwives per 1000 births (= 21.6 per 3600 births; 120 per 20,000 births; 175 births per midwife</w:t>
            </w:r>
            <w:proofErr w:type="gramStart"/>
            <w:r w:rsidRPr="000E174F">
              <w:rPr>
                <w:rFonts w:eastAsia="+mn-ea" w:cstheme="minorHAnsi"/>
                <w:sz w:val="16"/>
                <w:szCs w:val="16"/>
              </w:rPr>
              <w:t>)</w:t>
            </w:r>
            <w:r>
              <w:rPr>
                <w:rFonts w:eastAsia="+mn-ea" w:cstheme="minorHAnsi"/>
                <w:noProof/>
                <w:sz w:val="16"/>
                <w:szCs w:val="16"/>
                <w:vertAlign w:val="superscript"/>
              </w:rPr>
              <w:t>9</w:t>
            </w:r>
            <w:proofErr w:type="gramEnd"/>
            <w:r w:rsidRPr="000E174F">
              <w:rPr>
                <w:rFonts w:eastAsia="+mn-ea" w:cstheme="minorHAnsi"/>
                <w:sz w:val="16"/>
                <w:szCs w:val="16"/>
              </w:rPr>
              <w:t xml:space="preserve">. It is unclear whether these are needed to manage only deliveries or if all other midwifery services (and if so the extent of these). </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20 midwives and 3 (part-time) doctors per 3,600 births (5.6 midwives per 1000 births and 0.8 part-time doctors per 1000 births)</w:t>
            </w:r>
            <w:r>
              <w:rPr>
                <w:rFonts w:eastAsia="+mn-ea" w:cstheme="minorHAnsi"/>
                <w:noProof/>
                <w:sz w:val="16"/>
                <w:szCs w:val="16"/>
                <w:vertAlign w:val="superscript"/>
              </w:rPr>
              <w:t>3</w:t>
            </w:r>
          </w:p>
        </w:tc>
        <w:tc>
          <w:tcPr>
            <w:tcW w:w="3981"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1 full-time equivalent (FTE) midwife per 28 hospital births; 1 (FTE) midwife per 35 home births; 1 (FTE) midwife per 35 lower-dependency births in birth centres/midwifery led units.</w:t>
            </w:r>
            <w:r w:rsidRPr="009876EA">
              <w:rPr>
                <w:rFonts w:eastAsia="+mn-ea" w:cstheme="minorHAnsi"/>
                <w:noProof/>
                <w:sz w:val="16"/>
                <w:szCs w:val="16"/>
                <w:vertAlign w:val="superscript"/>
              </w:rPr>
              <w:t>10</w:t>
            </w:r>
            <w:r w:rsidRPr="000E174F">
              <w:rPr>
                <w:rFonts w:eastAsia="+mn-ea" w:cstheme="minorHAnsi"/>
                <w:sz w:val="16"/>
                <w:szCs w:val="16"/>
              </w:rPr>
              <w:t xml:space="preserve"> </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60 hours consultant presence per week in maternity units with 2,500-4,000 births per year; 98 hours in units with 4,000-5,000 births; 168 hours in units with &gt; 5,000 births.</w:t>
            </w:r>
            <w:r w:rsidRPr="009876EA">
              <w:rPr>
                <w:rFonts w:eastAsia="+mn-ea" w:cstheme="minorHAnsi"/>
                <w:noProof/>
                <w:sz w:val="16"/>
                <w:szCs w:val="16"/>
                <w:vertAlign w:val="superscript"/>
              </w:rPr>
              <w:t>11</w:t>
            </w:r>
            <w:r w:rsidRPr="000E174F">
              <w:rPr>
                <w:rFonts w:eastAsia="+mn-ea" w:cstheme="minorHAnsi"/>
                <w:sz w:val="16"/>
                <w:szCs w:val="16"/>
              </w:rPr>
              <w:t xml:space="preserve"> </w:t>
            </w:r>
          </w:p>
        </w:tc>
      </w:tr>
      <w:tr w:rsidR="00022EA6" w:rsidRPr="000E174F" w:rsidTr="00FE4BAE">
        <w:trPr>
          <w:trHeight w:val="1317"/>
        </w:trPr>
        <w:tc>
          <w:tcPr>
            <w:tcW w:w="2160" w:type="dxa"/>
            <w:tcBorders>
              <w:top w:val="single" w:sz="4" w:space="0" w:color="auto"/>
              <w:bottom w:val="single" w:sz="4" w:space="0" w:color="auto"/>
            </w:tcBorders>
          </w:tcPr>
          <w:p w:rsidR="00022EA6" w:rsidRPr="000E174F" w:rsidRDefault="00022EA6" w:rsidP="00FE4BAE">
            <w:pPr>
              <w:rPr>
                <w:rFonts w:asciiTheme="minorHAnsi" w:eastAsiaTheme="minorEastAsia" w:hAnsiTheme="minorHAnsi" w:cstheme="minorHAnsi"/>
                <w:b/>
                <w:sz w:val="16"/>
                <w:szCs w:val="16"/>
                <w:lang w:bidi="en-US"/>
              </w:rPr>
            </w:pPr>
            <w:r w:rsidRPr="000E174F">
              <w:rPr>
                <w:rFonts w:asciiTheme="minorHAnsi" w:hAnsiTheme="minorHAnsi" w:cstheme="minorHAnsi"/>
                <w:sz w:val="16"/>
              </w:rPr>
              <w:t>Medical providers</w:t>
            </w:r>
            <w:r w:rsidRPr="000E174F">
              <w:rPr>
                <w:rFonts w:asciiTheme="minorHAnsi" w:hAnsiTheme="minorHAnsi" w:cstheme="minorHAnsi"/>
                <w:sz w:val="16"/>
                <w:szCs w:val="16"/>
              </w:rPr>
              <w:t xml:space="preserve"> (physicians, nurses and midwives) per population needed to provide high coverage of essential health interventions (including maternal health care)</w:t>
            </w:r>
          </w:p>
        </w:tc>
        <w:tc>
          <w:tcPr>
            <w:tcW w:w="3240"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22.8 medical providers per 10,000 population</w:t>
            </w:r>
            <w:r>
              <w:rPr>
                <w:rFonts w:eastAsia="+mn-ea" w:cstheme="minorHAnsi"/>
                <w:noProof/>
                <w:sz w:val="16"/>
                <w:szCs w:val="16"/>
                <w:vertAlign w:val="superscript"/>
              </w:rPr>
              <w:t>12</w:t>
            </w:r>
            <w:r w:rsidRPr="000E174F">
              <w:rPr>
                <w:rFonts w:eastAsia="+mn-ea" w:cstheme="minorHAnsi"/>
                <w:sz w:val="16"/>
                <w:szCs w:val="16"/>
              </w:rPr>
              <w:t xml:space="preserve"> </w:t>
            </w:r>
          </w:p>
        </w:tc>
        <w:tc>
          <w:tcPr>
            <w:tcW w:w="3981"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34.5 skilled health professionals (physicians, nurses and midwives) per 10,000 population</w:t>
            </w:r>
            <w:r>
              <w:rPr>
                <w:rFonts w:eastAsia="+mn-ea" w:cstheme="minorHAnsi"/>
                <w:noProof/>
                <w:sz w:val="16"/>
                <w:szCs w:val="16"/>
                <w:vertAlign w:val="superscript"/>
              </w:rPr>
              <w:t>13</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59.4 skilled health professionals (physicians, nurses and midwives) per 10,000 population</w:t>
            </w:r>
            <w:r>
              <w:rPr>
                <w:rFonts w:eastAsia="+mn-ea" w:cstheme="minorHAnsi"/>
                <w:noProof/>
                <w:sz w:val="16"/>
                <w:szCs w:val="16"/>
                <w:vertAlign w:val="superscript"/>
              </w:rPr>
              <w:t>14</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16.5 medical providers per 10,000 population</w:t>
            </w:r>
            <w:r>
              <w:rPr>
                <w:rFonts w:eastAsia="+mn-ea" w:cstheme="minorHAnsi"/>
                <w:noProof/>
                <w:sz w:val="16"/>
                <w:szCs w:val="16"/>
                <w:vertAlign w:val="superscript"/>
              </w:rPr>
              <w:t>13</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 xml:space="preserve">20-40 surgical providers </w:t>
            </w:r>
            <w:r w:rsidRPr="000E174F">
              <w:rPr>
                <w:rFonts w:cstheme="minorHAnsi"/>
                <w:sz w:val="16"/>
                <w:szCs w:val="16"/>
              </w:rPr>
              <w:t>(surgeons, anaesthesiologist, obstetricians) per</w:t>
            </w:r>
            <w:r w:rsidRPr="000E174F">
              <w:rPr>
                <w:rFonts w:eastAsia="+mn-ea" w:cstheme="minorHAnsi"/>
                <w:sz w:val="16"/>
                <w:szCs w:val="16"/>
              </w:rPr>
              <w:t xml:space="preserve"> 100,000 population</w:t>
            </w:r>
            <w:r>
              <w:rPr>
                <w:rFonts w:eastAsia="+mn-ea" w:cstheme="minorHAnsi"/>
                <w:noProof/>
                <w:sz w:val="16"/>
                <w:szCs w:val="16"/>
                <w:vertAlign w:val="superscript"/>
              </w:rPr>
              <w:t>15</w:t>
            </w:r>
          </w:p>
        </w:tc>
      </w:tr>
      <w:tr w:rsidR="00022EA6" w:rsidRPr="000E174F" w:rsidTr="00FE4BAE">
        <w:trPr>
          <w:trHeight w:val="222"/>
        </w:trPr>
        <w:tc>
          <w:tcPr>
            <w:tcW w:w="2160" w:type="dxa"/>
            <w:tcBorders>
              <w:top w:val="single" w:sz="4" w:space="0" w:color="auto"/>
              <w:bottom w:val="single" w:sz="4" w:space="0" w:color="auto"/>
              <w:right w:val="nil"/>
            </w:tcBorders>
            <w:shd w:val="clear" w:color="auto" w:fill="D0CECE" w:themeFill="background2" w:themeFillShade="E6"/>
          </w:tcPr>
          <w:p w:rsidR="00022EA6" w:rsidRPr="000E174F" w:rsidRDefault="00022EA6" w:rsidP="00FE4BAE">
            <w:pPr>
              <w:rPr>
                <w:rFonts w:asciiTheme="minorHAnsi" w:eastAsiaTheme="minorEastAsia" w:hAnsiTheme="minorHAnsi" w:cstheme="minorHAnsi"/>
                <w:b/>
                <w:sz w:val="16"/>
                <w:szCs w:val="16"/>
                <w:lang w:bidi="en-US"/>
              </w:rPr>
            </w:pPr>
            <w:r w:rsidRPr="000E174F">
              <w:rPr>
                <w:rFonts w:asciiTheme="minorHAnsi" w:eastAsiaTheme="minorEastAsia" w:hAnsiTheme="minorHAnsi" w:cstheme="minorHAnsi"/>
                <w:b/>
                <w:sz w:val="16"/>
                <w:szCs w:val="16"/>
                <w:lang w:bidi="en-US"/>
              </w:rPr>
              <w:t>Travel time/distance</w:t>
            </w:r>
          </w:p>
        </w:tc>
        <w:tc>
          <w:tcPr>
            <w:tcW w:w="3240" w:type="dxa"/>
            <w:tcBorders>
              <w:top w:val="single" w:sz="4" w:space="0" w:color="auto"/>
              <w:left w:val="nil"/>
              <w:bottom w:val="single" w:sz="4" w:space="0" w:color="auto"/>
              <w:right w:val="nil"/>
            </w:tcBorders>
            <w:shd w:val="clear" w:color="auto" w:fill="D0CECE" w:themeFill="background2" w:themeFillShade="E6"/>
          </w:tcPr>
          <w:p w:rsidR="00022EA6" w:rsidRPr="000E174F" w:rsidRDefault="00022EA6" w:rsidP="00FE4BAE">
            <w:pPr>
              <w:pStyle w:val="NormalWeb"/>
              <w:spacing w:before="0" w:beforeAutospacing="0" w:after="0" w:afterAutospacing="0"/>
              <w:rPr>
                <w:rFonts w:asciiTheme="minorHAnsi" w:eastAsia="+mn-ea" w:hAnsiTheme="minorHAnsi" w:cstheme="minorHAnsi"/>
                <w:sz w:val="16"/>
                <w:szCs w:val="16"/>
              </w:rPr>
            </w:pPr>
          </w:p>
        </w:tc>
        <w:tc>
          <w:tcPr>
            <w:tcW w:w="3981" w:type="dxa"/>
            <w:tcBorders>
              <w:top w:val="single" w:sz="4" w:space="0" w:color="auto"/>
              <w:left w:val="nil"/>
              <w:bottom w:val="single" w:sz="4" w:space="0" w:color="auto"/>
            </w:tcBorders>
            <w:shd w:val="clear" w:color="auto" w:fill="D0CECE" w:themeFill="background2" w:themeFillShade="E6"/>
          </w:tcPr>
          <w:p w:rsidR="00022EA6" w:rsidRPr="000E174F" w:rsidRDefault="00022EA6" w:rsidP="00FE4BAE">
            <w:pPr>
              <w:rPr>
                <w:rFonts w:asciiTheme="minorHAnsi" w:hAnsiTheme="minorHAnsi" w:cstheme="minorHAnsi"/>
                <w:color w:val="000000"/>
                <w:sz w:val="16"/>
                <w:szCs w:val="16"/>
              </w:rPr>
            </w:pPr>
          </w:p>
        </w:tc>
      </w:tr>
      <w:tr w:rsidR="00022EA6" w:rsidRPr="000E174F" w:rsidTr="00FE4BAE">
        <w:trPr>
          <w:trHeight w:val="3160"/>
        </w:trPr>
        <w:tc>
          <w:tcPr>
            <w:tcW w:w="2160" w:type="dxa"/>
            <w:tcBorders>
              <w:top w:val="single" w:sz="4" w:space="0" w:color="auto"/>
              <w:bottom w:val="single" w:sz="4" w:space="0" w:color="auto"/>
            </w:tcBorders>
          </w:tcPr>
          <w:p w:rsidR="00022EA6" w:rsidRPr="000E174F" w:rsidRDefault="00022EA6" w:rsidP="00FE4BAE">
            <w:pPr>
              <w:rPr>
                <w:rFonts w:asciiTheme="minorHAnsi" w:hAnsiTheme="minorHAnsi" w:cstheme="minorHAnsi"/>
                <w:sz w:val="16"/>
              </w:rPr>
            </w:pPr>
            <w:r w:rsidRPr="000E174F">
              <w:rPr>
                <w:rFonts w:asciiTheme="minorHAnsi" w:hAnsiTheme="minorHAnsi" w:cstheme="minorHAnsi"/>
                <w:b/>
                <w:sz w:val="16"/>
                <w:szCs w:val="16"/>
              </w:rPr>
              <w:t>Travel time/distance to an EmOC facility</w:t>
            </w:r>
          </w:p>
        </w:tc>
        <w:tc>
          <w:tcPr>
            <w:tcW w:w="3240"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 xml:space="preserve">All women within 3 hour of an EmOC </w:t>
            </w:r>
            <w:proofErr w:type="spellStart"/>
            <w:r w:rsidRPr="000E174F">
              <w:rPr>
                <w:rFonts w:eastAsia="+mn-ea" w:cstheme="minorHAnsi"/>
                <w:sz w:val="16"/>
                <w:szCs w:val="16"/>
              </w:rPr>
              <w:t>facility</w:t>
            </w:r>
            <w:r>
              <w:rPr>
                <w:rFonts w:eastAsia="+mn-ea" w:cstheme="minorHAnsi"/>
                <w:noProof/>
                <w:sz w:val="16"/>
                <w:szCs w:val="16"/>
                <w:vertAlign w:val="superscript"/>
              </w:rPr>
              <w:t>1</w:t>
            </w:r>
            <w:proofErr w:type="spellEnd"/>
            <w:r>
              <w:rPr>
                <w:rFonts w:eastAsia="+mn-ea" w:cstheme="minorHAnsi"/>
                <w:noProof/>
                <w:sz w:val="16"/>
                <w:szCs w:val="16"/>
                <w:vertAlign w:val="superscript"/>
              </w:rPr>
              <w:t>, 2</w:t>
            </w:r>
          </w:p>
        </w:tc>
        <w:tc>
          <w:tcPr>
            <w:tcW w:w="3981" w:type="dxa"/>
            <w:tcBorders>
              <w:top w:val="single" w:sz="4" w:space="0" w:color="auto"/>
              <w:bottom w:val="single" w:sz="4" w:space="0" w:color="auto"/>
            </w:tcBorders>
          </w:tcPr>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 xml:space="preserve">All women within 2 hours of an EmOC </w:t>
            </w:r>
            <w:proofErr w:type="spellStart"/>
            <w:r w:rsidRPr="000E174F">
              <w:rPr>
                <w:rFonts w:eastAsia="+mn-ea" w:cstheme="minorHAnsi"/>
                <w:sz w:val="16"/>
                <w:szCs w:val="16"/>
              </w:rPr>
              <w:t>facility.</w:t>
            </w:r>
            <w:r>
              <w:rPr>
                <w:rFonts w:eastAsia="+mn-ea" w:cstheme="minorHAnsi"/>
                <w:noProof/>
                <w:sz w:val="16"/>
                <w:szCs w:val="16"/>
                <w:vertAlign w:val="superscript"/>
              </w:rPr>
              <w:t>16</w:t>
            </w:r>
            <w:proofErr w:type="spellEnd"/>
            <w:r>
              <w:rPr>
                <w:rFonts w:eastAsia="+mn-ea" w:cstheme="minorHAnsi"/>
                <w:noProof/>
                <w:sz w:val="16"/>
                <w:szCs w:val="16"/>
                <w:vertAlign w:val="superscript"/>
              </w:rPr>
              <w:t>, 17</w:t>
            </w:r>
            <w:hyperlink w:anchor="_ENREF_66" w:tooltip="Gething, 2012 #37" w:history="1"/>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 xml:space="preserve">Proportion of women living </w:t>
            </w:r>
            <w:r w:rsidRPr="000E174F">
              <w:rPr>
                <w:rFonts w:eastAsia="+mn-ea" w:cstheme="minorHAnsi"/>
                <w:sz w:val="16"/>
                <w:szCs w:val="16"/>
                <w:u w:val="single"/>
              </w:rPr>
              <w:t>&lt;</w:t>
            </w:r>
            <w:r w:rsidRPr="000E174F">
              <w:rPr>
                <w:rFonts w:eastAsia="+mn-ea" w:cstheme="minorHAnsi"/>
                <w:sz w:val="16"/>
                <w:szCs w:val="16"/>
              </w:rPr>
              <w:t>15 km to EmOC facility (Zambia)</w:t>
            </w:r>
            <w:r>
              <w:rPr>
                <w:rFonts w:eastAsia="+mn-ea" w:cstheme="minorHAnsi"/>
                <w:noProof/>
                <w:sz w:val="16"/>
                <w:szCs w:val="16"/>
                <w:vertAlign w:val="superscript"/>
              </w:rPr>
              <w:t>4</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 xml:space="preserve">Proportion of women living </w:t>
            </w:r>
            <w:r w:rsidRPr="000E174F">
              <w:rPr>
                <w:rFonts w:eastAsia="+mn-ea" w:cstheme="minorHAnsi"/>
                <w:sz w:val="16"/>
                <w:szCs w:val="16"/>
                <w:u w:val="single"/>
              </w:rPr>
              <w:t>&lt;</w:t>
            </w:r>
            <w:r w:rsidRPr="000E174F">
              <w:rPr>
                <w:rFonts w:eastAsia="+mn-ea" w:cstheme="minorHAnsi"/>
                <w:sz w:val="16"/>
                <w:szCs w:val="16"/>
              </w:rPr>
              <w:t xml:space="preserve">8km from </w:t>
            </w:r>
            <w:r>
              <w:rPr>
                <w:rFonts w:eastAsia="+mn-ea" w:cstheme="minorHAnsi"/>
                <w:sz w:val="16"/>
                <w:szCs w:val="16"/>
              </w:rPr>
              <w:t>childbirth</w:t>
            </w:r>
            <w:r w:rsidRPr="000E174F">
              <w:rPr>
                <w:rFonts w:eastAsia="+mn-ea" w:cstheme="minorHAnsi"/>
                <w:sz w:val="16"/>
                <w:szCs w:val="16"/>
              </w:rPr>
              <w:t xml:space="preserve"> services (Ghana)</w:t>
            </w:r>
            <w:r>
              <w:rPr>
                <w:rFonts w:eastAsia="+mn-ea" w:cstheme="minorHAnsi"/>
                <w:noProof/>
                <w:sz w:val="16"/>
                <w:szCs w:val="16"/>
                <w:vertAlign w:val="superscript"/>
              </w:rPr>
              <w:t>18</w:t>
            </w:r>
            <w:r w:rsidRPr="000E174F">
              <w:rPr>
                <w:rFonts w:eastAsia="+mn-ea" w:cstheme="minorHAnsi"/>
                <w:sz w:val="16"/>
                <w:szCs w:val="16"/>
              </w:rPr>
              <w:t xml:space="preserve"> </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All women within 30 minutes of obstetric &amp; gynaecologic services (Germany)</w:t>
            </w:r>
            <w:r>
              <w:rPr>
                <w:rFonts w:eastAsia="+mn-ea" w:cstheme="minorHAnsi"/>
                <w:noProof/>
                <w:sz w:val="16"/>
                <w:szCs w:val="16"/>
                <w:vertAlign w:val="superscript"/>
              </w:rPr>
              <w:t>19</w:t>
            </w:r>
            <w:r w:rsidRPr="000E174F">
              <w:rPr>
                <w:rFonts w:eastAsia="+mn-ea" w:cstheme="minorHAnsi"/>
                <w:sz w:val="16"/>
                <w:szCs w:val="16"/>
              </w:rPr>
              <w:t xml:space="preserve"> </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Proportion of women &lt;100 km of 1st &amp; 2nd trimester abortion services (South Africa)</w:t>
            </w:r>
            <w:r>
              <w:rPr>
                <w:rFonts w:eastAsia="+mn-ea" w:cstheme="minorHAnsi"/>
                <w:noProof/>
                <w:sz w:val="16"/>
                <w:szCs w:val="16"/>
                <w:vertAlign w:val="superscript"/>
              </w:rPr>
              <w:t>20</w:t>
            </w:r>
            <w:r w:rsidRPr="000E174F">
              <w:rPr>
                <w:rFonts w:eastAsia="+mn-ea" w:cstheme="minorHAnsi"/>
                <w:sz w:val="16"/>
                <w:szCs w:val="16"/>
              </w:rPr>
              <w:t xml:space="preserve"> or of abortion services (Canada)</w:t>
            </w:r>
            <w:r>
              <w:rPr>
                <w:rFonts w:eastAsia="+mn-ea" w:cstheme="minorHAnsi"/>
                <w:noProof/>
                <w:sz w:val="16"/>
                <w:szCs w:val="16"/>
                <w:vertAlign w:val="superscript"/>
              </w:rPr>
              <w:t>21</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Proportion of women within 15 km of PAC or TOP facility</w:t>
            </w:r>
            <w:r w:rsidRPr="009876EA">
              <w:rPr>
                <w:rFonts w:eastAsia="+mn-ea" w:cstheme="minorHAnsi"/>
                <w:noProof/>
                <w:sz w:val="16"/>
                <w:szCs w:val="16"/>
                <w:vertAlign w:val="superscript"/>
              </w:rPr>
              <w:t>22</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 xml:space="preserve">Proportion of women within 6.4 km of family planning (Malawi) </w:t>
            </w:r>
            <w:r>
              <w:rPr>
                <w:rFonts w:eastAsia="+mn-ea" w:cstheme="minorHAnsi"/>
                <w:noProof/>
                <w:sz w:val="16"/>
                <w:szCs w:val="16"/>
                <w:vertAlign w:val="superscript"/>
              </w:rPr>
              <w:t>23</w:t>
            </w:r>
            <w:r w:rsidRPr="000E174F">
              <w:rPr>
                <w:rFonts w:eastAsia="+mn-ea" w:cstheme="minorHAnsi"/>
                <w:sz w:val="16"/>
                <w:szCs w:val="16"/>
                <w:vertAlign w:val="superscript"/>
              </w:rPr>
              <w:t xml:space="preserve"> </w:t>
            </w:r>
          </w:p>
          <w:p w:rsidR="00022EA6" w:rsidRPr="000E174F" w:rsidRDefault="00022EA6" w:rsidP="00FE4BAE">
            <w:pPr>
              <w:pStyle w:val="ListParagraph"/>
              <w:numPr>
                <w:ilvl w:val="0"/>
                <w:numId w:val="7"/>
              </w:numPr>
              <w:ind w:left="272" w:hanging="244"/>
              <w:rPr>
                <w:rFonts w:eastAsia="+mn-ea" w:cstheme="minorHAnsi"/>
                <w:sz w:val="16"/>
                <w:szCs w:val="16"/>
              </w:rPr>
            </w:pPr>
            <w:r w:rsidRPr="000E174F">
              <w:rPr>
                <w:rFonts w:eastAsia="+mn-ea" w:cstheme="minorHAnsi"/>
                <w:sz w:val="16"/>
                <w:szCs w:val="16"/>
              </w:rPr>
              <w:t xml:space="preserve">1 ambulance per 20,000-100,000 population (LMICS) </w:t>
            </w:r>
            <w:r w:rsidRPr="009876EA">
              <w:rPr>
                <w:rFonts w:eastAsia="+mn-ea" w:cstheme="minorHAnsi"/>
                <w:noProof/>
                <w:sz w:val="16"/>
                <w:szCs w:val="16"/>
                <w:vertAlign w:val="superscript"/>
              </w:rPr>
              <w:t>24-26</w:t>
            </w:r>
          </w:p>
        </w:tc>
      </w:tr>
    </w:tbl>
    <w:p w:rsidR="00022EA6" w:rsidRDefault="00022EA6" w:rsidP="00FE4BAE">
      <w:pPr>
        <w:pStyle w:val="Heading2"/>
        <w:spacing w:before="0" w:line="276" w:lineRule="auto"/>
        <w:jc w:val="both"/>
        <w:rPr>
          <w:rFonts w:eastAsiaTheme="minorHAnsi" w:cstheme="minorHAnsi"/>
          <w:b w:val="0"/>
          <w:szCs w:val="24"/>
        </w:rPr>
      </w:pPr>
    </w:p>
    <w:p w:rsidR="00022EA6" w:rsidRDefault="00022EA6" w:rsidP="00FE4BAE">
      <w:pPr>
        <w:pStyle w:val="Heading2"/>
        <w:spacing w:before="0" w:line="276" w:lineRule="auto"/>
        <w:jc w:val="both"/>
        <w:rPr>
          <w:rFonts w:cstheme="minorHAnsi"/>
          <w:szCs w:val="24"/>
        </w:rPr>
      </w:pPr>
    </w:p>
    <w:p w:rsidR="00022EA6" w:rsidRDefault="00022EA6" w:rsidP="00FE4BAE"/>
    <w:p w:rsidR="00022EA6" w:rsidRPr="00A0377E" w:rsidRDefault="00022EA6" w:rsidP="00FE4BAE"/>
    <w:tbl>
      <w:tblPr>
        <w:tblStyle w:val="TableGrid"/>
        <w:tblW w:w="0" w:type="auto"/>
        <w:tblInd w:w="-365" w:type="dxa"/>
        <w:tblLook w:val="04A0" w:firstRow="1" w:lastRow="0" w:firstColumn="1" w:lastColumn="0" w:noHBand="0" w:noVBand="1"/>
      </w:tblPr>
      <w:tblGrid>
        <w:gridCol w:w="9381"/>
      </w:tblGrid>
      <w:tr w:rsidR="00022EA6" w:rsidRPr="009876EA" w:rsidTr="00FE4BAE">
        <w:tc>
          <w:tcPr>
            <w:tcW w:w="9381" w:type="dxa"/>
            <w:tcBorders>
              <w:top w:val="nil"/>
              <w:left w:val="nil"/>
              <w:right w:val="nil"/>
            </w:tcBorders>
          </w:tcPr>
          <w:p w:rsidR="00022EA6" w:rsidRDefault="00FE4BAE" w:rsidP="00FE4BAE">
            <w:pPr>
              <w:pStyle w:val="Heading1"/>
              <w:outlineLvl w:val="0"/>
            </w:pPr>
            <w:bookmarkStart w:id="1" w:name="_Toc458091843"/>
            <w:r>
              <w:lastRenderedPageBreak/>
              <w:t>Appendix</w:t>
            </w:r>
            <w:r w:rsidR="00022EA6" w:rsidRPr="00A0377E">
              <w:t xml:space="preserve"> 2: Beyond childbirth care: </w:t>
            </w:r>
            <w:r>
              <w:t xml:space="preserve">the status of </w:t>
            </w:r>
            <w:r w:rsidR="00022EA6" w:rsidRPr="00A0377E">
              <w:t>other health services</w:t>
            </w:r>
            <w:bookmarkEnd w:id="1"/>
          </w:p>
          <w:p w:rsidR="00FE4BAE" w:rsidRPr="00FE4BAE" w:rsidRDefault="00FE4BAE" w:rsidP="00FE4BAE"/>
        </w:tc>
      </w:tr>
      <w:tr w:rsidR="00022EA6" w:rsidRPr="009876EA" w:rsidTr="00FE4BAE">
        <w:tc>
          <w:tcPr>
            <w:tcW w:w="9381" w:type="dxa"/>
          </w:tcPr>
          <w:p w:rsidR="00022EA6" w:rsidRPr="009876EA" w:rsidRDefault="00022EA6" w:rsidP="00FE4BAE">
            <w:pPr>
              <w:spacing w:line="276" w:lineRule="auto"/>
              <w:jc w:val="both"/>
              <w:rPr>
                <w:rFonts w:asciiTheme="minorHAnsi" w:hAnsiTheme="minorHAnsi" w:cstheme="minorHAnsi"/>
                <w:szCs w:val="20"/>
                <w:lang w:eastAsia="en-GB"/>
              </w:rPr>
            </w:pPr>
            <w:r w:rsidRPr="009876EA">
              <w:rPr>
                <w:rFonts w:asciiTheme="minorHAnsi" w:hAnsiTheme="minorHAnsi" w:cstheme="minorHAnsi"/>
                <w:szCs w:val="20"/>
              </w:rPr>
              <w:t>We focus on childbirth services because they target a high-risk period, but other health services are obviously important. Women who do not want to give birth need family planning and safe abortion, for example. Effective f</w:t>
            </w:r>
            <w:r w:rsidRPr="009876EA">
              <w:rPr>
                <w:rFonts w:asciiTheme="minorHAnsi" w:hAnsiTheme="minorHAnsi" w:cstheme="minorHAnsi"/>
                <w:szCs w:val="20"/>
                <w:lang w:eastAsia="en-GB"/>
              </w:rPr>
              <w:t xml:space="preserve">amily planning enables women to meet their fertility intentions and avert maternal deaths from unsafe induced abortion and from any cause within unintended pregnancies. </w:t>
            </w:r>
            <w:r w:rsidRPr="009876EA">
              <w:rPr>
                <w:rFonts w:asciiTheme="minorHAnsi" w:hAnsiTheme="minorHAnsi" w:cstheme="minorHAnsi"/>
                <w:szCs w:val="20"/>
              </w:rPr>
              <w:t>In 2015 globally, 64% of women used modern family planning and 12% had unmet need for contraception.</w:t>
            </w:r>
            <w:r w:rsidRPr="009876EA">
              <w:rPr>
                <w:rFonts w:asciiTheme="minorHAnsi" w:hAnsiTheme="minorHAnsi" w:cstheme="minorHAnsi"/>
                <w:noProof/>
                <w:szCs w:val="20"/>
                <w:vertAlign w:val="superscript"/>
              </w:rPr>
              <w:t>27</w:t>
            </w:r>
            <w:r w:rsidRPr="009876EA">
              <w:rPr>
                <w:rFonts w:asciiTheme="minorHAnsi" w:hAnsiTheme="minorHAnsi" w:cstheme="minorHAnsi"/>
                <w:szCs w:val="20"/>
              </w:rPr>
              <w:t xml:space="preserve"> </w:t>
            </w:r>
            <w:r w:rsidRPr="009876EA">
              <w:rPr>
                <w:rFonts w:asciiTheme="minorHAnsi" w:hAnsiTheme="minorHAnsi" w:cstheme="minorHAnsi"/>
                <w:szCs w:val="20"/>
                <w:lang w:eastAsia="en-GB"/>
              </w:rPr>
              <w:t>Addressing unmet contraceptive need has the potential to reduce maternal deaths by an estimated 29%.</w:t>
            </w:r>
            <w:r w:rsidRPr="009876EA">
              <w:rPr>
                <w:rFonts w:asciiTheme="minorHAnsi" w:hAnsiTheme="minorHAnsi" w:cstheme="minorHAnsi"/>
                <w:noProof/>
                <w:szCs w:val="20"/>
                <w:vertAlign w:val="superscript"/>
                <w:lang w:eastAsia="en-GB"/>
              </w:rPr>
              <w:t>28</w:t>
            </w:r>
            <w:r w:rsidRPr="009876EA">
              <w:rPr>
                <w:rFonts w:asciiTheme="minorHAnsi" w:hAnsiTheme="minorHAnsi" w:cstheme="minorHAnsi"/>
                <w:szCs w:val="20"/>
                <w:lang w:eastAsia="en-GB"/>
              </w:rPr>
              <w:t xml:space="preserve"> </w:t>
            </w:r>
          </w:p>
          <w:p w:rsidR="00022EA6" w:rsidRPr="009876EA" w:rsidRDefault="00022EA6" w:rsidP="00FE4BAE">
            <w:pPr>
              <w:spacing w:line="276" w:lineRule="auto"/>
              <w:jc w:val="both"/>
              <w:rPr>
                <w:rFonts w:asciiTheme="minorHAnsi" w:hAnsiTheme="minorHAnsi" w:cstheme="minorHAnsi"/>
                <w:szCs w:val="20"/>
                <w:lang w:eastAsia="en-GB"/>
              </w:rPr>
            </w:pPr>
          </w:p>
          <w:p w:rsidR="00022EA6" w:rsidRPr="009876EA" w:rsidRDefault="00022EA6" w:rsidP="00FE4BAE">
            <w:pPr>
              <w:spacing w:line="276" w:lineRule="auto"/>
              <w:jc w:val="both"/>
              <w:rPr>
                <w:rFonts w:asciiTheme="minorHAnsi" w:hAnsiTheme="minorHAnsi" w:cstheme="minorHAnsi"/>
                <w:szCs w:val="20"/>
              </w:rPr>
            </w:pPr>
            <w:r w:rsidRPr="009876EA">
              <w:rPr>
                <w:rFonts w:asciiTheme="minorHAnsi" w:hAnsiTheme="minorHAnsi" w:cstheme="minorHAnsi"/>
                <w:szCs w:val="20"/>
                <w:lang w:eastAsia="en-GB"/>
              </w:rPr>
              <w:t>An estimated 21.6 million women resort to unsafe services each year: 49% of all induced abortions.</w:t>
            </w:r>
            <w:r w:rsidRPr="009876EA">
              <w:rPr>
                <w:rFonts w:asciiTheme="minorHAnsi" w:hAnsiTheme="minorHAnsi" w:cstheme="minorHAnsi"/>
                <w:noProof/>
                <w:szCs w:val="20"/>
                <w:vertAlign w:val="superscript"/>
                <w:lang w:eastAsia="en-GB"/>
              </w:rPr>
              <w:t>29</w:t>
            </w:r>
            <w:r w:rsidRPr="009876EA">
              <w:rPr>
                <w:rFonts w:asciiTheme="minorHAnsi" w:hAnsiTheme="minorHAnsi" w:cstheme="minorHAnsi"/>
                <w:szCs w:val="20"/>
                <w:lang w:eastAsia="en-GB"/>
              </w:rPr>
              <w:t xml:space="preserve"> Abortion deaths contribute 7.9% of maternal deaths in developing countries</w:t>
            </w:r>
            <w:proofErr w:type="gramStart"/>
            <w:r w:rsidRPr="009876EA">
              <w:rPr>
                <w:rFonts w:asciiTheme="minorHAnsi" w:hAnsiTheme="minorHAnsi" w:cstheme="minorHAnsi"/>
                <w:szCs w:val="20"/>
                <w:lang w:eastAsia="en-GB"/>
              </w:rPr>
              <w:t>,</w:t>
            </w:r>
            <w:r w:rsidRPr="009876EA">
              <w:rPr>
                <w:rFonts w:asciiTheme="minorHAnsi" w:hAnsiTheme="minorHAnsi" w:cstheme="minorHAnsi"/>
                <w:noProof/>
                <w:szCs w:val="20"/>
                <w:vertAlign w:val="superscript"/>
                <w:lang w:eastAsia="en-GB"/>
              </w:rPr>
              <w:t>30</w:t>
            </w:r>
            <w:proofErr w:type="gramEnd"/>
            <w:r w:rsidRPr="009876EA">
              <w:rPr>
                <w:rFonts w:asciiTheme="minorHAnsi" w:hAnsiTheme="minorHAnsi" w:cstheme="minorHAnsi"/>
                <w:szCs w:val="20"/>
                <w:lang w:eastAsia="en-GB"/>
              </w:rPr>
              <w:t xml:space="preserve"> and a considerable associated morbidity burden poses high costs to health services. </w:t>
            </w:r>
            <w:r w:rsidRPr="009876EA">
              <w:rPr>
                <w:rFonts w:asciiTheme="minorHAnsi" w:hAnsiTheme="minorHAnsi" w:cstheme="minorHAnsi"/>
                <w:szCs w:val="20"/>
              </w:rPr>
              <w:t>Access to safe abortion services avoids maternal death from unsafe abortion, and appears to have increased worldwide, as evidenced by decreasing abortion-related mortality.</w:t>
            </w:r>
            <w:r w:rsidRPr="009876EA">
              <w:rPr>
                <w:rFonts w:asciiTheme="minorHAnsi" w:hAnsiTheme="minorHAnsi" w:cstheme="minorHAnsi"/>
                <w:noProof/>
                <w:szCs w:val="20"/>
                <w:vertAlign w:val="superscript"/>
              </w:rPr>
              <w:t>31-33</w:t>
            </w:r>
            <w:r w:rsidRPr="009876EA">
              <w:rPr>
                <w:rFonts w:asciiTheme="minorHAnsi" w:hAnsiTheme="minorHAnsi" w:cstheme="minorHAnsi"/>
                <w:szCs w:val="20"/>
              </w:rPr>
              <w:t xml:space="preserve"> Improvements are attributed to increasing legal provision for abortion, safer technologies, particularly medical abortion with its transformative potential, and greater post-abortion care (PAC) provision.</w:t>
            </w:r>
            <w:r w:rsidRPr="009876EA">
              <w:rPr>
                <w:rFonts w:asciiTheme="minorHAnsi" w:hAnsiTheme="minorHAnsi" w:cstheme="minorHAnsi"/>
                <w:noProof/>
                <w:szCs w:val="20"/>
                <w:vertAlign w:val="superscript"/>
              </w:rPr>
              <w:t>32, 34-38</w:t>
            </w:r>
            <w:r w:rsidRPr="009876EA">
              <w:rPr>
                <w:rFonts w:asciiTheme="minorHAnsi" w:hAnsiTheme="minorHAnsi" w:cstheme="minorHAnsi"/>
                <w:szCs w:val="20"/>
              </w:rPr>
              <w:t xml:space="preserve"> However, provision and access remain sub-optimal, particularly in low-resource settings, and there is little comparative data on the scale of provision of safe abortion and PAC services, with some exceptions, for example, in India, Bangladesh, and Ethiopia.</w:t>
            </w:r>
            <w:r w:rsidRPr="009876EA">
              <w:rPr>
                <w:rFonts w:asciiTheme="minorHAnsi" w:hAnsiTheme="minorHAnsi" w:cstheme="minorHAnsi"/>
                <w:noProof/>
                <w:szCs w:val="20"/>
                <w:vertAlign w:val="superscript"/>
              </w:rPr>
              <w:t>20, 39-44</w:t>
            </w:r>
            <w:r w:rsidRPr="009876EA">
              <w:rPr>
                <w:rFonts w:asciiTheme="minorHAnsi" w:hAnsiTheme="minorHAnsi" w:cstheme="minorHAnsi"/>
                <w:szCs w:val="20"/>
              </w:rPr>
              <w:t xml:space="preserve"> An in-depth study in Ethiopia assessed safe abortion care (SAC) capability as a percentage of a SAC benchmark, noting it increased from 39% to 86% over time.</w:t>
            </w:r>
            <w:r w:rsidRPr="009876EA">
              <w:rPr>
                <w:rFonts w:asciiTheme="minorHAnsi" w:hAnsiTheme="minorHAnsi" w:cstheme="minorHAnsi"/>
                <w:noProof/>
                <w:szCs w:val="20"/>
                <w:vertAlign w:val="superscript"/>
              </w:rPr>
              <w:t>39</w:t>
            </w:r>
            <w:r w:rsidRPr="009876EA">
              <w:rPr>
                <w:rFonts w:asciiTheme="minorHAnsi" w:hAnsiTheme="minorHAnsi" w:cstheme="minorHAnsi"/>
                <w:szCs w:val="20"/>
              </w:rPr>
              <w:t xml:space="preserve"> A different approach used for regions in South Africa found women who had to travel more than 50 km to 1st trimester abortion services ranged from 0.3%-62.8%.</w:t>
            </w:r>
            <w:r w:rsidRPr="009876EA">
              <w:rPr>
                <w:rFonts w:asciiTheme="minorHAnsi" w:hAnsiTheme="minorHAnsi" w:cstheme="minorHAnsi"/>
                <w:noProof/>
                <w:szCs w:val="20"/>
                <w:vertAlign w:val="superscript"/>
              </w:rPr>
              <w:t>20</w:t>
            </w:r>
            <w:r w:rsidRPr="009876EA">
              <w:rPr>
                <w:rFonts w:asciiTheme="minorHAnsi" w:hAnsiTheme="minorHAnsi" w:cstheme="minorHAnsi"/>
                <w:szCs w:val="20"/>
              </w:rPr>
              <w:t xml:space="preserve"> All studies showed greater capability at hospital than lower-level facilities, and greater reported capability to provide PAC than termination of pregnancy.</w:t>
            </w:r>
            <w:r w:rsidRPr="009876EA">
              <w:rPr>
                <w:rFonts w:asciiTheme="minorHAnsi" w:hAnsiTheme="minorHAnsi" w:cstheme="minorHAnsi"/>
                <w:noProof/>
                <w:szCs w:val="20"/>
                <w:vertAlign w:val="superscript"/>
              </w:rPr>
              <w:t>40-43</w:t>
            </w:r>
            <w:r w:rsidRPr="009876EA">
              <w:rPr>
                <w:rFonts w:asciiTheme="minorHAnsi" w:hAnsiTheme="minorHAnsi" w:cstheme="minorHAnsi"/>
                <w:szCs w:val="20"/>
              </w:rPr>
              <w:t xml:space="preserve"> Studies of provider skills generally indicate that providers are less skilled in vacuum aspiration for PAC than other aspects of emergency care.</w:t>
            </w:r>
            <w:r w:rsidRPr="009876EA">
              <w:rPr>
                <w:rFonts w:asciiTheme="minorHAnsi" w:hAnsiTheme="minorHAnsi" w:cstheme="minorHAnsi"/>
                <w:noProof/>
                <w:szCs w:val="20"/>
                <w:vertAlign w:val="superscript"/>
              </w:rPr>
              <w:t>45, 46</w:t>
            </w:r>
            <w:r w:rsidRPr="009876EA">
              <w:rPr>
                <w:rFonts w:asciiTheme="minorHAnsi" w:hAnsiTheme="minorHAnsi" w:cstheme="minorHAnsi"/>
                <w:szCs w:val="20"/>
              </w:rPr>
              <w:t xml:space="preserve"> </w:t>
            </w:r>
          </w:p>
          <w:p w:rsidR="00022EA6" w:rsidRPr="009876EA" w:rsidRDefault="00022EA6" w:rsidP="00FE4BAE">
            <w:pPr>
              <w:pStyle w:val="NoSpacing"/>
              <w:spacing w:line="276" w:lineRule="auto"/>
              <w:jc w:val="both"/>
              <w:rPr>
                <w:rFonts w:cstheme="minorHAnsi"/>
                <w:sz w:val="20"/>
                <w:szCs w:val="20"/>
              </w:rPr>
            </w:pPr>
          </w:p>
          <w:p w:rsidR="00022EA6" w:rsidRDefault="00022EA6" w:rsidP="00FE4BAE">
            <w:pPr>
              <w:pStyle w:val="NoSpacing"/>
              <w:spacing w:line="276" w:lineRule="auto"/>
              <w:jc w:val="both"/>
              <w:rPr>
                <w:rFonts w:cstheme="minorHAnsi"/>
                <w:sz w:val="24"/>
                <w:szCs w:val="24"/>
                <w:lang w:eastAsia="en-GB"/>
              </w:rPr>
            </w:pPr>
            <w:r w:rsidRPr="009876EA">
              <w:rPr>
                <w:rFonts w:cstheme="minorHAnsi"/>
                <w:sz w:val="20"/>
                <w:szCs w:val="20"/>
              </w:rPr>
              <w:t xml:space="preserve">Standard ANC and postnatal care (PNC) complement </w:t>
            </w:r>
            <w:proofErr w:type="spellStart"/>
            <w:r>
              <w:rPr>
                <w:rFonts w:cstheme="minorHAnsi"/>
                <w:sz w:val="20"/>
                <w:szCs w:val="20"/>
              </w:rPr>
              <w:t>intrapartum</w:t>
            </w:r>
            <w:proofErr w:type="spellEnd"/>
            <w:r w:rsidRPr="009876EA">
              <w:rPr>
                <w:rFonts w:cstheme="minorHAnsi"/>
                <w:sz w:val="20"/>
                <w:szCs w:val="20"/>
              </w:rPr>
              <w:t xml:space="preserve"> services and along with family planning and abortion services, fit along the continuum of care.</w:t>
            </w:r>
            <w:r w:rsidRPr="009876EA">
              <w:rPr>
                <w:rFonts w:cstheme="minorHAnsi"/>
                <w:sz w:val="20"/>
                <w:szCs w:val="20"/>
                <w:lang w:eastAsia="en-GB"/>
              </w:rPr>
              <w:t xml:space="preserve"> Currently, a minimum of four ANC visits are recommended for women with uncomplicated pregnancies to deliver the optimal, cost-effective content of care, consisting of screening, diagnosis, treatment (if necessary), and counselling on pregnancy, </w:t>
            </w:r>
            <w:r>
              <w:rPr>
                <w:rFonts w:cstheme="minorHAnsi"/>
                <w:sz w:val="20"/>
                <w:szCs w:val="20"/>
                <w:lang w:eastAsia="en-GB"/>
              </w:rPr>
              <w:t>childbirth</w:t>
            </w:r>
            <w:r w:rsidRPr="009876EA">
              <w:rPr>
                <w:rFonts w:cstheme="minorHAnsi"/>
                <w:sz w:val="20"/>
                <w:szCs w:val="20"/>
                <w:lang w:eastAsia="en-GB"/>
              </w:rPr>
              <w:t xml:space="preserve"> and newborn </w:t>
            </w:r>
            <w:proofErr w:type="spellStart"/>
            <w:r w:rsidRPr="009876EA">
              <w:rPr>
                <w:rFonts w:cstheme="minorHAnsi"/>
                <w:sz w:val="20"/>
                <w:szCs w:val="20"/>
                <w:lang w:eastAsia="en-GB"/>
              </w:rPr>
              <w:t>care.</w:t>
            </w:r>
            <w:r w:rsidRPr="009876EA">
              <w:rPr>
                <w:rFonts w:cstheme="minorHAnsi"/>
                <w:noProof/>
                <w:sz w:val="20"/>
                <w:szCs w:val="20"/>
                <w:vertAlign w:val="superscript"/>
                <w:lang w:eastAsia="en-GB"/>
              </w:rPr>
              <w:t>47</w:t>
            </w:r>
            <w:proofErr w:type="spellEnd"/>
            <w:r w:rsidRPr="009876EA">
              <w:rPr>
                <w:rFonts w:cstheme="minorHAnsi"/>
                <w:noProof/>
                <w:sz w:val="20"/>
                <w:szCs w:val="20"/>
                <w:vertAlign w:val="superscript"/>
                <w:lang w:eastAsia="en-GB"/>
              </w:rPr>
              <w:t>, 48</w:t>
            </w:r>
            <w:r w:rsidRPr="009876EA">
              <w:rPr>
                <w:rFonts w:cstheme="minorHAnsi"/>
                <w:sz w:val="20"/>
                <w:szCs w:val="20"/>
                <w:lang w:eastAsia="en-GB"/>
              </w:rPr>
              <w:t xml:space="preserve"> Unlike </w:t>
            </w:r>
            <w:proofErr w:type="spellStart"/>
            <w:r>
              <w:rPr>
                <w:rFonts w:cstheme="minorHAnsi"/>
                <w:sz w:val="20"/>
                <w:szCs w:val="20"/>
                <w:lang w:eastAsia="en-GB"/>
              </w:rPr>
              <w:t>intrapartum</w:t>
            </w:r>
            <w:proofErr w:type="spellEnd"/>
            <w:r w:rsidRPr="009876EA">
              <w:rPr>
                <w:rFonts w:cstheme="minorHAnsi"/>
                <w:sz w:val="20"/>
                <w:szCs w:val="20"/>
                <w:lang w:eastAsia="en-GB"/>
              </w:rPr>
              <w:t xml:space="preserve"> care, ANC is generally an outpatient service, with many elements that can be provided by health professionals with fewer skills than SBAs, in facility environments with fewer resource requirements, and at times convenient to the woman and family. ANC </w:t>
            </w:r>
            <w:r w:rsidRPr="002A7AFD">
              <w:rPr>
                <w:rFonts w:cstheme="minorHAnsi"/>
                <w:sz w:val="20"/>
                <w:szCs w:val="20"/>
                <w:lang w:eastAsia="en-GB"/>
              </w:rPr>
              <w:t xml:space="preserve">is also an important entry path to other maternal and reproductive services, and even to general health services. </w:t>
            </w:r>
          </w:p>
          <w:p w:rsidR="00022EA6" w:rsidRPr="009876EA" w:rsidRDefault="00022EA6" w:rsidP="00FE4BAE">
            <w:pPr>
              <w:pStyle w:val="NoSpacing"/>
              <w:spacing w:line="276" w:lineRule="auto"/>
              <w:jc w:val="both"/>
              <w:rPr>
                <w:rFonts w:cstheme="minorHAnsi"/>
                <w:sz w:val="20"/>
                <w:szCs w:val="20"/>
                <w:lang w:eastAsia="en-GB"/>
              </w:rPr>
            </w:pPr>
          </w:p>
          <w:p w:rsidR="00022EA6" w:rsidRPr="009876EA" w:rsidRDefault="00022EA6" w:rsidP="00FE4BAE">
            <w:pPr>
              <w:pStyle w:val="NoSpacing"/>
              <w:spacing w:line="276" w:lineRule="auto"/>
              <w:jc w:val="both"/>
              <w:rPr>
                <w:rFonts w:cstheme="minorHAnsi"/>
                <w:sz w:val="20"/>
                <w:szCs w:val="20"/>
                <w:lang w:eastAsia="en-GB"/>
              </w:rPr>
            </w:pPr>
            <w:r w:rsidRPr="009876EA">
              <w:rPr>
                <w:rFonts w:cstheme="minorHAnsi"/>
                <w:sz w:val="20"/>
                <w:szCs w:val="20"/>
                <w:lang w:eastAsia="en-GB"/>
              </w:rPr>
              <w:t>Coverage of 1+ ANC visits is greater than coverage of SBA delivery,</w:t>
            </w:r>
            <w:r w:rsidRPr="009876EA">
              <w:rPr>
                <w:rFonts w:cstheme="minorHAnsi"/>
                <w:noProof/>
                <w:sz w:val="20"/>
                <w:szCs w:val="20"/>
                <w:vertAlign w:val="superscript"/>
                <w:lang w:eastAsia="en-GB"/>
              </w:rPr>
              <w:t>49</w:t>
            </w:r>
            <w:r w:rsidRPr="009876EA">
              <w:rPr>
                <w:rFonts w:cstheme="minorHAnsi"/>
                <w:sz w:val="20"/>
                <w:szCs w:val="20"/>
                <w:lang w:eastAsia="en-GB"/>
              </w:rPr>
              <w:t xml:space="preserve"> possibly reflecting shorter travel-times to lower-level facilities, and a longer window of opportunity to reach services compared to </w:t>
            </w:r>
            <w:r>
              <w:rPr>
                <w:rFonts w:cstheme="minorHAnsi"/>
                <w:sz w:val="20"/>
                <w:szCs w:val="20"/>
                <w:lang w:eastAsia="en-GB"/>
              </w:rPr>
              <w:t>childbirth</w:t>
            </w:r>
            <w:r w:rsidRPr="009876EA">
              <w:rPr>
                <w:rFonts w:cstheme="minorHAnsi"/>
                <w:sz w:val="20"/>
                <w:szCs w:val="20"/>
                <w:lang w:eastAsia="en-GB"/>
              </w:rPr>
              <w:t xml:space="preserve"> care.</w:t>
            </w:r>
            <w:r w:rsidRPr="009876EA">
              <w:rPr>
                <w:rFonts w:cstheme="minorHAnsi"/>
                <w:noProof/>
                <w:sz w:val="20"/>
                <w:szCs w:val="20"/>
                <w:vertAlign w:val="superscript"/>
                <w:lang w:eastAsia="en-GB"/>
              </w:rPr>
              <w:t>50</w:t>
            </w:r>
            <w:r w:rsidRPr="009876EA">
              <w:rPr>
                <w:rFonts w:cstheme="minorHAnsi"/>
                <w:sz w:val="20"/>
                <w:szCs w:val="20"/>
                <w:lang w:eastAsia="en-GB"/>
              </w:rPr>
              <w:t xml:space="preserve"> Coverage with 4+ ANC visits lags behind coverage with 1+ visits in many LMICs, with substantial proportions of women receiving some ANC but not being successfully retained to benefit from a complete care package.</w:t>
            </w:r>
            <w:r w:rsidRPr="009876EA">
              <w:rPr>
                <w:rFonts w:cstheme="minorHAnsi"/>
                <w:noProof/>
                <w:sz w:val="20"/>
                <w:szCs w:val="20"/>
                <w:vertAlign w:val="superscript"/>
              </w:rPr>
              <w:t>51, 52</w:t>
            </w:r>
            <w:r w:rsidRPr="009876EA">
              <w:rPr>
                <w:rFonts w:cstheme="minorHAnsi"/>
                <w:sz w:val="20"/>
                <w:szCs w:val="20"/>
                <w:lang w:eastAsia="en-GB"/>
              </w:rPr>
              <w:t xml:space="preserve"> Unlike for content of</w:t>
            </w:r>
            <w:r>
              <w:rPr>
                <w:rFonts w:cstheme="minorHAnsi"/>
                <w:sz w:val="20"/>
                <w:szCs w:val="20"/>
                <w:lang w:eastAsia="en-GB"/>
              </w:rPr>
              <w:t xml:space="preserve"> </w:t>
            </w:r>
            <w:proofErr w:type="spellStart"/>
            <w:r>
              <w:rPr>
                <w:rFonts w:cstheme="minorHAnsi"/>
                <w:sz w:val="20"/>
                <w:szCs w:val="20"/>
                <w:lang w:eastAsia="en-GB"/>
              </w:rPr>
              <w:t>intrapartum</w:t>
            </w:r>
            <w:proofErr w:type="spellEnd"/>
            <w:r w:rsidRPr="009876EA">
              <w:rPr>
                <w:rFonts w:cstheme="minorHAnsi"/>
                <w:sz w:val="20"/>
                <w:szCs w:val="20"/>
                <w:lang w:eastAsia="en-GB"/>
              </w:rPr>
              <w:t xml:space="preserve"> care, women can be asked to report on which elements of ANC they received. Available data from 26 countries show only half the essential elements, such as blood or urine tests, are received among women attending ANC compared to recommended content.</w:t>
            </w:r>
            <w:r w:rsidRPr="009876EA">
              <w:rPr>
                <w:rFonts w:cstheme="minorHAnsi"/>
                <w:noProof/>
                <w:sz w:val="20"/>
                <w:szCs w:val="20"/>
                <w:vertAlign w:val="superscript"/>
                <w:lang w:eastAsia="en-GB"/>
              </w:rPr>
              <w:t>53</w:t>
            </w:r>
            <w:r w:rsidRPr="009876EA">
              <w:rPr>
                <w:rFonts w:cstheme="minorHAnsi"/>
                <w:sz w:val="20"/>
                <w:szCs w:val="20"/>
                <w:lang w:eastAsia="en-GB"/>
              </w:rPr>
              <w:t xml:space="preserve"> Similarly, development of a birth plan and counselling on pregnancy complications are essential ANC components that link women to routine and emergency</w:t>
            </w:r>
            <w:r>
              <w:rPr>
                <w:rFonts w:cstheme="minorHAnsi"/>
                <w:sz w:val="20"/>
                <w:szCs w:val="20"/>
                <w:lang w:eastAsia="en-GB"/>
              </w:rPr>
              <w:t xml:space="preserve"> childbirth</w:t>
            </w:r>
            <w:r w:rsidRPr="009876EA">
              <w:rPr>
                <w:rFonts w:cstheme="minorHAnsi"/>
                <w:sz w:val="20"/>
                <w:szCs w:val="20"/>
                <w:lang w:eastAsia="en-GB"/>
              </w:rPr>
              <w:t xml:space="preserve"> care. We analysed 26 of the 29 LMICs with DHS data on ANC content. Coverage of 1+ ANC visits ranged from 43% (Ethiopia) to 99% (Ukraine), with a median of 93%. When we assessed whether the women using ANC recalled being informed about signs of pregnancy complications; countries ranged from 18% (Chad) to 80% (Cambodia), with a median of 50%. Combining coverage and content gaps showed that only about two in five women received this essential information (range 8% (Chad) to 78% (Malawi), with a median of 43%). Women who delivered at home were, on average, 22% less likely to receive such information compared to those who </w:t>
            </w:r>
            <w:r w:rsidRPr="009876EA">
              <w:rPr>
                <w:rFonts w:cstheme="minorHAnsi"/>
                <w:sz w:val="20"/>
                <w:szCs w:val="20"/>
                <w:lang w:eastAsia="en-GB"/>
              </w:rPr>
              <w:lastRenderedPageBreak/>
              <w:t>delivered in facilities, despite being precisely the women who might have benefitted most from timely recognition of complications and transfer to facilities.</w:t>
            </w:r>
          </w:p>
          <w:p w:rsidR="00022EA6" w:rsidRPr="002A7AFD" w:rsidRDefault="00022EA6" w:rsidP="00FE4BAE">
            <w:pPr>
              <w:spacing w:line="276" w:lineRule="auto"/>
              <w:jc w:val="both"/>
              <w:rPr>
                <w:rFonts w:asciiTheme="minorHAnsi" w:hAnsiTheme="minorHAnsi" w:cstheme="minorHAnsi"/>
                <w:szCs w:val="20"/>
              </w:rPr>
            </w:pPr>
          </w:p>
          <w:p w:rsidR="00022EA6" w:rsidRPr="002A7AFD" w:rsidRDefault="00022EA6" w:rsidP="00FE4BAE">
            <w:pPr>
              <w:pStyle w:val="NoSpacing"/>
              <w:spacing w:line="276" w:lineRule="auto"/>
              <w:jc w:val="both"/>
              <w:rPr>
                <w:rFonts w:cstheme="minorHAnsi"/>
                <w:sz w:val="20"/>
                <w:szCs w:val="20"/>
                <w:lang w:eastAsia="en-GB"/>
              </w:rPr>
            </w:pPr>
            <w:r w:rsidRPr="002A7AFD">
              <w:rPr>
                <w:rFonts w:cstheme="minorHAnsi"/>
                <w:sz w:val="20"/>
                <w:szCs w:val="20"/>
                <w:lang w:eastAsia="en-GB"/>
              </w:rPr>
              <w:t>PNC receives much less attention than delivery care or ANC, particularly for mothers or bereaved women who experienced a stillbirth or newborn death. Current PNC guidelines recommend four postnatal checks, with the first within 24-hours of birth.</w:t>
            </w:r>
            <w:r w:rsidRPr="002A7AFD">
              <w:rPr>
                <w:rFonts w:cstheme="minorHAnsi"/>
                <w:noProof/>
                <w:sz w:val="20"/>
                <w:szCs w:val="20"/>
                <w:vertAlign w:val="superscript"/>
                <w:lang w:eastAsia="en-GB"/>
              </w:rPr>
              <w:t>7</w:t>
            </w:r>
            <w:r w:rsidRPr="002A7AFD">
              <w:rPr>
                <w:rFonts w:cstheme="minorHAnsi"/>
                <w:sz w:val="20"/>
                <w:szCs w:val="20"/>
                <w:lang w:eastAsia="en-GB"/>
              </w:rPr>
              <w:t xml:space="preserve"> Women are recommended to remain at least 24-hours after facility birth, but many do not.</w:t>
            </w:r>
            <w:r w:rsidRPr="002A7AFD">
              <w:rPr>
                <w:rFonts w:cstheme="minorHAnsi"/>
                <w:noProof/>
                <w:sz w:val="20"/>
                <w:szCs w:val="20"/>
                <w:vertAlign w:val="superscript"/>
                <w:lang w:eastAsia="en-GB"/>
              </w:rPr>
              <w:t>8</w:t>
            </w:r>
            <w:r w:rsidRPr="002A7AFD">
              <w:rPr>
                <w:rFonts w:cstheme="minorHAnsi"/>
                <w:sz w:val="20"/>
                <w:szCs w:val="20"/>
                <w:lang w:eastAsia="en-GB"/>
              </w:rPr>
              <w:t xml:space="preserve"> </w:t>
            </w:r>
            <w:r w:rsidRPr="002A7AFD">
              <w:rPr>
                <w:sz w:val="20"/>
                <w:szCs w:val="20"/>
              </w:rPr>
              <w:t>R</w:t>
            </w:r>
            <w:r w:rsidRPr="002A7AFD">
              <w:rPr>
                <w:rFonts w:cstheme="minorHAnsi"/>
                <w:sz w:val="20"/>
                <w:szCs w:val="20"/>
                <w:lang w:eastAsia="en-GB"/>
              </w:rPr>
              <w:t>ecent analyses found substantial proportions of women in many LMICs discharged from facilities before 24 hours, and without a check, for example, in Ethiopia  after a median length-of-stay of 6 hours,</w:t>
            </w:r>
            <w:r w:rsidRPr="006633C9">
              <w:rPr>
                <w:rFonts w:cstheme="minorHAnsi"/>
                <w:noProof/>
                <w:sz w:val="20"/>
                <w:szCs w:val="20"/>
                <w:vertAlign w:val="superscript"/>
                <w:lang w:eastAsia="en-GB"/>
              </w:rPr>
              <w:t>54</w:t>
            </w:r>
            <w:r w:rsidRPr="002A7AFD">
              <w:rPr>
                <w:rFonts w:cstheme="minorHAnsi"/>
                <w:sz w:val="20"/>
                <w:szCs w:val="20"/>
                <w:lang w:eastAsia="en-GB"/>
              </w:rPr>
              <w:t xml:space="preserve"> and in Egypt after a mean length-of-stay of half-a-day.</w:t>
            </w:r>
            <w:r w:rsidRPr="006633C9">
              <w:rPr>
                <w:rFonts w:cstheme="minorHAnsi"/>
                <w:noProof/>
                <w:sz w:val="20"/>
                <w:szCs w:val="20"/>
                <w:vertAlign w:val="superscript"/>
                <w:lang w:eastAsia="en-GB"/>
              </w:rPr>
              <w:t>8</w:t>
            </w:r>
            <w:r w:rsidRPr="002A7AFD">
              <w:rPr>
                <w:rFonts w:cstheme="minorHAnsi"/>
                <w:sz w:val="20"/>
                <w:szCs w:val="20"/>
                <w:lang w:eastAsia="en-GB"/>
              </w:rPr>
              <w:t xml:space="preserve"> Those with home births are recommended to receive a home-based postnatal contact as early as possible within the first 24-hours, but coverage is low.</w:t>
            </w:r>
            <w:r w:rsidRPr="002A7AFD">
              <w:rPr>
                <w:rFonts w:cstheme="minorHAnsi"/>
                <w:noProof/>
                <w:sz w:val="20"/>
                <w:szCs w:val="20"/>
                <w:vertAlign w:val="superscript"/>
                <w:lang w:eastAsia="en-GB"/>
              </w:rPr>
              <w:t>8</w:t>
            </w:r>
            <w:r w:rsidRPr="002A7AFD">
              <w:rPr>
                <w:rFonts w:cstheme="minorHAnsi"/>
                <w:sz w:val="20"/>
                <w:szCs w:val="20"/>
                <w:lang w:eastAsia="en-GB"/>
              </w:rPr>
              <w:t xml:space="preserve"> For home births, many LICs have tried to get community health workers to visit newborns and mothers but few are successful at getting them there in the first days. In Uganda for example, only 10.9% of all newborns received PNC, while only 5.6% of the subset of home births received it.</w:t>
            </w:r>
            <w:r w:rsidRPr="006633C9">
              <w:rPr>
                <w:rFonts w:cstheme="minorHAnsi"/>
                <w:noProof/>
                <w:sz w:val="20"/>
                <w:szCs w:val="20"/>
                <w:vertAlign w:val="superscript"/>
                <w:lang w:eastAsia="en-GB"/>
              </w:rPr>
              <w:t>55</w:t>
            </w:r>
            <w:r w:rsidRPr="002A7AFD">
              <w:rPr>
                <w:rFonts w:cstheme="minorHAnsi"/>
                <w:sz w:val="20"/>
                <w:szCs w:val="20"/>
                <w:lang w:eastAsia="en-GB"/>
              </w:rPr>
              <w:t xml:space="preserve"> </w:t>
            </w:r>
            <w:r w:rsidRPr="002A7AFD">
              <w:rPr>
                <w:rFonts w:cstheme="minorHAnsi"/>
                <w:sz w:val="20"/>
                <w:szCs w:val="20"/>
              </w:rPr>
              <w:t>Good quality, comparative data on PNC coverage are scant, largely stemming from a now-resolved lack of consensus on the desired timing and frequency of PNC visits.</w:t>
            </w:r>
            <w:r w:rsidRPr="006633C9">
              <w:rPr>
                <w:rFonts w:cstheme="minorHAnsi"/>
                <w:noProof/>
                <w:sz w:val="20"/>
                <w:szCs w:val="20"/>
                <w:vertAlign w:val="superscript"/>
              </w:rPr>
              <w:t>56</w:t>
            </w:r>
            <w:r w:rsidRPr="002A7AFD">
              <w:rPr>
                <w:rFonts w:cstheme="minorHAnsi"/>
                <w:sz w:val="20"/>
                <w:szCs w:val="20"/>
              </w:rPr>
              <w:t xml:space="preserve"> Content</w:t>
            </w:r>
            <w:r w:rsidRPr="002A7AFD">
              <w:rPr>
                <w:rFonts w:cstheme="minorHAnsi"/>
                <w:sz w:val="20"/>
                <w:szCs w:val="20"/>
                <w:lang w:eastAsia="en-GB"/>
              </w:rPr>
              <w:t xml:space="preserve"> of PNC for mothers</w:t>
            </w:r>
            <w:r w:rsidRPr="002A7AFD">
              <w:rPr>
                <w:rFonts w:cstheme="minorHAnsi"/>
                <w:sz w:val="20"/>
                <w:szCs w:val="20"/>
              </w:rPr>
              <w:t xml:space="preserve"> is poorly defined</w:t>
            </w:r>
            <w:r w:rsidRPr="002A7AFD">
              <w:rPr>
                <w:rFonts w:cstheme="minorHAnsi"/>
                <w:sz w:val="20"/>
                <w:szCs w:val="20"/>
                <w:lang w:eastAsia="en-GB"/>
              </w:rPr>
              <w:t xml:space="preserve"> and based on expert opinion rather than empirical evidence.</w:t>
            </w:r>
            <w:r w:rsidRPr="002A7AFD">
              <w:rPr>
                <w:rFonts w:cstheme="minorHAnsi"/>
                <w:noProof/>
                <w:sz w:val="20"/>
                <w:szCs w:val="20"/>
                <w:vertAlign w:val="superscript"/>
                <w:lang w:eastAsia="en-GB"/>
              </w:rPr>
              <w:t>7</w:t>
            </w:r>
          </w:p>
          <w:p w:rsidR="00022EA6" w:rsidRPr="002A7AFD" w:rsidRDefault="00022EA6" w:rsidP="00FE4BAE">
            <w:pPr>
              <w:pStyle w:val="NoSpacing"/>
              <w:spacing w:line="276" w:lineRule="auto"/>
              <w:jc w:val="both"/>
              <w:rPr>
                <w:rFonts w:cstheme="minorHAnsi"/>
                <w:sz w:val="24"/>
                <w:szCs w:val="24"/>
                <w:lang w:eastAsia="en-GB"/>
              </w:rPr>
            </w:pPr>
          </w:p>
          <w:p w:rsidR="00022EA6" w:rsidRPr="009876EA" w:rsidRDefault="00022EA6" w:rsidP="00FE4BAE">
            <w:pPr>
              <w:spacing w:line="276" w:lineRule="auto"/>
              <w:jc w:val="both"/>
              <w:rPr>
                <w:rFonts w:asciiTheme="minorHAnsi" w:hAnsiTheme="minorHAnsi" w:cstheme="minorHAnsi"/>
                <w:szCs w:val="20"/>
              </w:rPr>
            </w:pPr>
            <w:r w:rsidRPr="009876EA">
              <w:rPr>
                <w:rFonts w:asciiTheme="minorHAnsi" w:hAnsiTheme="minorHAnsi" w:cstheme="minorHAnsi"/>
                <w:szCs w:val="20"/>
                <w:lang w:eastAsia="en-GB"/>
              </w:rPr>
              <w:t xml:space="preserve">In LMICs, little is known about ANC or PNC services for women needing general medical care for health concerns such as diabetes, obesity, or mental health problems. Maternal death reviews in HICs suggest women required to move across services (e.g. from ANC to mental health services) can fall through gaps when services are </w:t>
            </w:r>
            <w:proofErr w:type="spellStart"/>
            <w:r w:rsidRPr="009876EA">
              <w:rPr>
                <w:rFonts w:asciiTheme="minorHAnsi" w:hAnsiTheme="minorHAnsi" w:cstheme="minorHAnsi"/>
                <w:szCs w:val="20"/>
                <w:lang w:eastAsia="en-GB"/>
              </w:rPr>
              <w:t>siloed</w:t>
            </w:r>
            <w:proofErr w:type="spellEnd"/>
            <w:r w:rsidRPr="009876EA">
              <w:rPr>
                <w:rFonts w:asciiTheme="minorHAnsi" w:hAnsiTheme="minorHAnsi" w:cstheme="minorHAnsi"/>
                <w:szCs w:val="20"/>
                <w:lang w:eastAsia="en-GB"/>
              </w:rPr>
              <w:t>, and that integration is important.</w:t>
            </w:r>
            <w:r w:rsidRPr="006633C9">
              <w:rPr>
                <w:rFonts w:asciiTheme="minorHAnsi" w:hAnsiTheme="minorHAnsi" w:cstheme="minorHAnsi"/>
                <w:noProof/>
                <w:szCs w:val="20"/>
                <w:vertAlign w:val="superscript"/>
                <w:lang w:eastAsia="en-GB"/>
              </w:rPr>
              <w:t>57</w:t>
            </w:r>
            <w:r w:rsidRPr="009876EA">
              <w:rPr>
                <w:rFonts w:asciiTheme="minorHAnsi" w:hAnsiTheme="minorHAnsi" w:cstheme="minorHAnsi"/>
                <w:szCs w:val="20"/>
                <w:lang w:eastAsia="en-GB"/>
              </w:rPr>
              <w:t xml:space="preserve"> </w:t>
            </w:r>
            <w:r w:rsidRPr="009876EA">
              <w:rPr>
                <w:rFonts w:asciiTheme="minorHAnsi" w:hAnsiTheme="minorHAnsi" w:cstheme="minorHAnsi"/>
                <w:szCs w:val="20"/>
              </w:rPr>
              <w:t>The role of ANC and PNC for linking to services addressing problems associated with shifting epidemiology patterns, (including existing and emerging infections, such as malaria and Ebola, or non-communicable diseases, such as diabetes, obesity or mental ill-health), is increasingly recognised as important.</w:t>
            </w:r>
          </w:p>
          <w:p w:rsidR="00022EA6" w:rsidRPr="009876EA" w:rsidRDefault="00022EA6" w:rsidP="00FE4BAE">
            <w:pPr>
              <w:spacing w:line="276" w:lineRule="auto"/>
              <w:jc w:val="both"/>
              <w:rPr>
                <w:rFonts w:asciiTheme="minorHAnsi" w:hAnsiTheme="minorHAnsi" w:cstheme="minorHAnsi"/>
                <w:szCs w:val="20"/>
              </w:rPr>
            </w:pPr>
          </w:p>
        </w:tc>
      </w:tr>
    </w:tbl>
    <w:p w:rsidR="00022EA6" w:rsidRPr="009876EA" w:rsidRDefault="00022EA6" w:rsidP="00FE4BAE">
      <w:pPr>
        <w:rPr>
          <w:rFonts w:asciiTheme="minorHAnsi" w:hAnsiTheme="minorHAnsi" w:cstheme="minorHAnsi"/>
        </w:rPr>
      </w:pPr>
    </w:p>
    <w:p w:rsidR="00022EA6" w:rsidRPr="00283AB8" w:rsidRDefault="00022EA6" w:rsidP="00FE4BAE">
      <w:pPr>
        <w:rPr>
          <w:rFonts w:asciiTheme="minorHAnsi" w:hAnsiTheme="minorHAnsi" w:cstheme="minorHAnsi"/>
        </w:rPr>
      </w:pPr>
    </w:p>
    <w:p w:rsidR="00022EA6" w:rsidRPr="00283AB8" w:rsidRDefault="00022EA6" w:rsidP="00FE4BAE">
      <w:pPr>
        <w:spacing w:after="0" w:line="240" w:lineRule="auto"/>
        <w:jc w:val="center"/>
        <w:rPr>
          <w:rFonts w:asciiTheme="minorHAnsi" w:hAnsiTheme="minorHAnsi" w:cstheme="minorHAnsi"/>
          <w:b/>
          <w:sz w:val="24"/>
          <w:szCs w:val="24"/>
        </w:rPr>
      </w:pPr>
    </w:p>
    <w:p w:rsidR="00022EA6" w:rsidRDefault="00022EA6">
      <w:pPr>
        <w:rPr>
          <w:rFonts w:asciiTheme="minorHAnsi" w:eastAsiaTheme="majorEastAsia" w:hAnsiTheme="minorHAnsi" w:cstheme="minorHAnsi"/>
          <w:b/>
          <w:sz w:val="24"/>
          <w:szCs w:val="24"/>
          <w:u w:val="single"/>
        </w:rPr>
      </w:pPr>
      <w:r>
        <w:rPr>
          <w:rFonts w:asciiTheme="minorHAnsi" w:hAnsiTheme="minorHAnsi" w:cstheme="minorHAnsi"/>
          <w:szCs w:val="24"/>
        </w:rPr>
        <w:br w:type="page"/>
      </w:r>
    </w:p>
    <w:p w:rsidR="00022EA6" w:rsidRPr="00FE4BAE" w:rsidRDefault="00FE4BAE" w:rsidP="00FE4BAE">
      <w:pPr>
        <w:pStyle w:val="Heading1"/>
      </w:pPr>
      <w:bookmarkStart w:id="2" w:name="_Toc458091844"/>
      <w:r w:rsidRPr="00FE4BAE">
        <w:lastRenderedPageBreak/>
        <w:t xml:space="preserve">Appendix 3: </w:t>
      </w:r>
      <w:r w:rsidR="00022EA6" w:rsidRPr="00FE4BAE">
        <w:t>Methods</w:t>
      </w:r>
      <w:bookmarkEnd w:id="2"/>
    </w:p>
    <w:p w:rsidR="00FE4BAE" w:rsidRDefault="00FE4BAE" w:rsidP="00FE4BAE">
      <w:pPr>
        <w:pStyle w:val="Heading2"/>
        <w:spacing w:before="0" w:line="240" w:lineRule="auto"/>
        <w:rPr>
          <w:rFonts w:cstheme="minorHAnsi"/>
          <w:szCs w:val="24"/>
        </w:rPr>
      </w:pPr>
    </w:p>
    <w:p w:rsidR="00022EA6" w:rsidRPr="009E759C" w:rsidRDefault="00022EA6" w:rsidP="00FE4BAE">
      <w:pPr>
        <w:pStyle w:val="Heading2"/>
        <w:spacing w:before="0" w:line="240" w:lineRule="auto"/>
        <w:rPr>
          <w:rFonts w:cstheme="minorHAnsi"/>
          <w:szCs w:val="24"/>
        </w:rPr>
      </w:pPr>
      <w:bookmarkStart w:id="3" w:name="_Toc458091845"/>
      <w:r w:rsidRPr="009E759C">
        <w:rPr>
          <w:rFonts w:cstheme="minorHAnsi"/>
          <w:szCs w:val="24"/>
        </w:rPr>
        <w:t>Where do births occur, and with whom: DHS data</w:t>
      </w:r>
      <w:bookmarkEnd w:id="3"/>
    </w:p>
    <w:p w:rsidR="00022EA6" w:rsidRPr="009E759C" w:rsidRDefault="00022EA6" w:rsidP="00FE4BAE">
      <w:pPr>
        <w:spacing w:after="0" w:line="240" w:lineRule="auto"/>
        <w:jc w:val="both"/>
        <w:rPr>
          <w:rFonts w:asciiTheme="minorHAnsi" w:hAnsiTheme="minorHAnsi" w:cstheme="minorHAnsi"/>
          <w:sz w:val="24"/>
          <w:szCs w:val="24"/>
        </w:rPr>
      </w:pPr>
    </w:p>
    <w:p w:rsidR="00022EA6" w:rsidRPr="009E759C" w:rsidRDefault="00022EA6" w:rsidP="00FE4BAE">
      <w:pPr>
        <w:spacing w:after="0" w:line="240" w:lineRule="auto"/>
        <w:jc w:val="both"/>
        <w:rPr>
          <w:rFonts w:asciiTheme="minorHAnsi" w:hAnsiTheme="minorHAnsi" w:cstheme="minorHAnsi"/>
          <w:b/>
          <w:sz w:val="24"/>
          <w:szCs w:val="24"/>
        </w:rPr>
      </w:pPr>
      <w:r w:rsidRPr="009E759C">
        <w:rPr>
          <w:rFonts w:asciiTheme="minorHAnsi" w:hAnsiTheme="minorHAnsi" w:cstheme="minorHAnsi"/>
          <w:b/>
          <w:sz w:val="24"/>
          <w:szCs w:val="24"/>
        </w:rPr>
        <w:t>Data source</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We used the Demographic and Health Surveys (DHS), listed below. These are cross-sectional nationally-representative household surveys that use model questionnaires that are adapted to each country’s circumstances. Data are generally based on self-reports of women aged 15-49. The sampling design is based on a multi-stage cluster strategy. Women in each DHS survey have individual sample weights that were used to calculate country-level representative summary statistics. </w:t>
      </w:r>
    </w:p>
    <w:p w:rsidR="00022EA6" w:rsidRPr="009876EA" w:rsidRDefault="00022EA6" w:rsidP="00FE4BAE">
      <w:pPr>
        <w:spacing w:after="0" w:line="240" w:lineRule="auto"/>
        <w:jc w:val="both"/>
        <w:rPr>
          <w:rFonts w:asciiTheme="minorHAnsi" w:hAnsiTheme="minorHAnsi" w:cstheme="minorHAnsi"/>
          <w:szCs w:val="20"/>
        </w:rPr>
      </w:pPr>
    </w:p>
    <w:tbl>
      <w:tblPr>
        <w:tblW w:w="3845" w:type="dxa"/>
        <w:tblInd w:w="91" w:type="dxa"/>
        <w:tblLook w:val="04A0" w:firstRow="1" w:lastRow="0" w:firstColumn="1" w:lastColumn="0" w:noHBand="0" w:noVBand="1"/>
      </w:tblPr>
      <w:tblGrid>
        <w:gridCol w:w="2427"/>
        <w:gridCol w:w="1418"/>
      </w:tblGrid>
      <w:tr w:rsidR="00022EA6" w:rsidRPr="009876EA" w:rsidTr="00FE4BAE">
        <w:trPr>
          <w:trHeight w:val="255"/>
        </w:trPr>
        <w:tc>
          <w:tcPr>
            <w:tcW w:w="2427" w:type="dxa"/>
            <w:tcBorders>
              <w:top w:val="single" w:sz="4" w:space="0" w:color="auto"/>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Bangladesh</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2011</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Cambodia</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2014</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Chad </w:t>
            </w:r>
          </w:p>
        </w:tc>
        <w:tc>
          <w:tcPr>
            <w:tcW w:w="1418" w:type="dxa"/>
            <w:tcBorders>
              <w:top w:val="nil"/>
              <w:left w:val="nil"/>
              <w:bottom w:val="single" w:sz="4" w:space="0" w:color="auto"/>
              <w:right w:val="single" w:sz="4" w:space="0" w:color="auto"/>
            </w:tcBorders>
            <w:shd w:val="clear" w:color="auto" w:fill="auto"/>
            <w:noWrap/>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2004</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DRC</w:t>
            </w:r>
          </w:p>
        </w:tc>
        <w:tc>
          <w:tcPr>
            <w:tcW w:w="1418" w:type="dxa"/>
            <w:tcBorders>
              <w:top w:val="nil"/>
              <w:left w:val="nil"/>
              <w:bottom w:val="single" w:sz="4" w:space="0" w:color="auto"/>
              <w:right w:val="single" w:sz="4" w:space="0" w:color="auto"/>
            </w:tcBorders>
            <w:shd w:val="clear" w:color="auto" w:fill="auto"/>
            <w:noWrap/>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2013</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Egypt</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2014</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Ethiopia</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2011</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Ghana</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2014</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Haiti</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2012</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India</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2005-6</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Indonesia</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2012</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Jordan</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2012</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Kenya</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2008-9</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Madagascar</w:t>
            </w:r>
          </w:p>
        </w:tc>
        <w:tc>
          <w:tcPr>
            <w:tcW w:w="1418" w:type="dxa"/>
            <w:tcBorders>
              <w:top w:val="nil"/>
              <w:left w:val="nil"/>
              <w:bottom w:val="single" w:sz="4" w:space="0" w:color="auto"/>
              <w:right w:val="single" w:sz="4" w:space="0" w:color="auto"/>
            </w:tcBorders>
            <w:shd w:val="clear" w:color="000000" w:fill="FFFFFF"/>
            <w:noWrap/>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2008-9</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Malawi</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2010</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Mali</w:t>
            </w:r>
          </w:p>
        </w:tc>
        <w:tc>
          <w:tcPr>
            <w:tcW w:w="1418" w:type="dxa"/>
            <w:tcBorders>
              <w:top w:val="nil"/>
              <w:left w:val="nil"/>
              <w:bottom w:val="single" w:sz="4" w:space="0" w:color="auto"/>
              <w:right w:val="single" w:sz="4" w:space="0" w:color="auto"/>
            </w:tcBorders>
            <w:shd w:val="clear" w:color="000000" w:fill="FFFFFF"/>
            <w:noWrap/>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2012</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Morocco</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2003-4</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Mozambique</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2011</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Namibia</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2013</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Nepal</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2011</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Nigeria</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2013</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Peru</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2012</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Rwanda</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2010</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Senegal</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2014</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Sierra Leone</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2013</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Tanzania</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2010</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Turkey</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2003</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Uganda</w:t>
            </w:r>
          </w:p>
        </w:tc>
        <w:tc>
          <w:tcPr>
            <w:tcW w:w="1418" w:type="dxa"/>
            <w:tcBorders>
              <w:top w:val="nil"/>
              <w:left w:val="nil"/>
              <w:bottom w:val="single" w:sz="4" w:space="0" w:color="auto"/>
              <w:right w:val="single" w:sz="4" w:space="0" w:color="auto"/>
            </w:tcBorders>
            <w:shd w:val="clear" w:color="000000" w:fill="FFFFFF"/>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2011</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Ukraine</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2007</w:t>
            </w:r>
          </w:p>
        </w:tc>
      </w:tr>
      <w:tr w:rsidR="00022EA6" w:rsidRPr="009876EA" w:rsidTr="00FE4BAE">
        <w:trPr>
          <w:trHeight w:val="255"/>
        </w:trPr>
        <w:tc>
          <w:tcPr>
            <w:tcW w:w="2427" w:type="dxa"/>
            <w:tcBorders>
              <w:top w:val="nil"/>
              <w:left w:val="single" w:sz="4" w:space="0" w:color="auto"/>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Zambia</w:t>
            </w:r>
          </w:p>
        </w:tc>
        <w:tc>
          <w:tcPr>
            <w:tcW w:w="1418" w:type="dxa"/>
            <w:tcBorders>
              <w:top w:val="nil"/>
              <w:left w:val="nil"/>
              <w:bottom w:val="single" w:sz="4" w:space="0" w:color="auto"/>
              <w:right w:val="single" w:sz="4" w:space="0" w:color="auto"/>
            </w:tcBorders>
            <w:shd w:val="clear" w:color="auto" w:fill="auto"/>
            <w:noWrap/>
            <w:hideMark/>
          </w:tcPr>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2013</w:t>
            </w:r>
          </w:p>
        </w:tc>
      </w:tr>
    </w:tbl>
    <w:p w:rsidR="00022EA6" w:rsidRPr="009876EA" w:rsidRDefault="00022EA6" w:rsidP="00FE4BAE">
      <w:pPr>
        <w:spacing w:after="0" w:line="240" w:lineRule="auto"/>
        <w:jc w:val="both"/>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szCs w:val="20"/>
        </w:rPr>
      </w:pPr>
    </w:p>
    <w:p w:rsidR="00022EA6" w:rsidRPr="009876EA" w:rsidRDefault="00022EA6">
      <w:pPr>
        <w:rPr>
          <w:rFonts w:asciiTheme="minorHAnsi" w:hAnsiTheme="minorHAnsi" w:cstheme="minorHAnsi"/>
          <w:b/>
          <w:szCs w:val="20"/>
        </w:rPr>
      </w:pPr>
      <w:r w:rsidRPr="009876EA">
        <w:rPr>
          <w:rFonts w:asciiTheme="minorHAnsi" w:hAnsiTheme="minorHAnsi" w:cstheme="minorHAnsi"/>
          <w:b/>
          <w:szCs w:val="20"/>
        </w:rPr>
        <w:br w:type="page"/>
      </w: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lastRenderedPageBreak/>
        <w:t>Population</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For all women aged 15-49 with a live birth in the survey recall period (5-years), circumstances of all live deliveries were analysed. The final analysis sample included the &gt;99.5% of births which had valid data on location of </w:t>
      </w:r>
      <w:r>
        <w:rPr>
          <w:rFonts w:asciiTheme="minorHAnsi" w:hAnsiTheme="minorHAnsi" w:cstheme="minorHAnsi"/>
          <w:szCs w:val="20"/>
        </w:rPr>
        <w:t>birth</w:t>
      </w:r>
      <w:r w:rsidRPr="009876EA">
        <w:rPr>
          <w:rFonts w:asciiTheme="minorHAnsi" w:hAnsiTheme="minorHAnsi" w:cstheme="minorHAnsi"/>
          <w:szCs w:val="20"/>
        </w:rPr>
        <w:t xml:space="preserve"> and person who attended the </w:t>
      </w:r>
      <w:r>
        <w:rPr>
          <w:rFonts w:asciiTheme="minorHAnsi" w:hAnsiTheme="minorHAnsi" w:cstheme="minorHAnsi"/>
          <w:szCs w:val="20"/>
        </w:rPr>
        <w:t>birth</w:t>
      </w:r>
      <w:r w:rsidRPr="009876EA">
        <w:rPr>
          <w:rFonts w:asciiTheme="minorHAnsi" w:hAnsiTheme="minorHAnsi" w:cstheme="minorHAnsi"/>
          <w:szCs w:val="20"/>
        </w:rPr>
        <w:t xml:space="preserve">. </w:t>
      </w:r>
    </w:p>
    <w:p w:rsidR="00022EA6" w:rsidRPr="009876EA" w:rsidRDefault="00022EA6" w:rsidP="00FE4BAE">
      <w:pPr>
        <w:spacing w:after="0" w:line="240" w:lineRule="auto"/>
        <w:jc w:val="both"/>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Location of deliveries and Facility level</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Women reported the location of each</w:t>
      </w:r>
      <w:r>
        <w:rPr>
          <w:rFonts w:asciiTheme="minorHAnsi" w:hAnsiTheme="minorHAnsi" w:cstheme="minorHAnsi"/>
          <w:szCs w:val="20"/>
        </w:rPr>
        <w:t xml:space="preserve"> birth</w:t>
      </w:r>
      <w:r w:rsidRPr="009876EA">
        <w:rPr>
          <w:rFonts w:asciiTheme="minorHAnsi" w:hAnsiTheme="minorHAnsi" w:cstheme="minorHAnsi"/>
          <w:szCs w:val="20"/>
        </w:rPr>
        <w:t>, which was categorised into domestic locations (woman’s own home or another home environment – e.g., her parents’) or a health facility. We grouped health facility locations by level into higher-level (i.e., hospitals) and lower-level (e.g., health centres, health posts, clinics). In some countries’ surveys, higher- and lower-levels of private</w:t>
      </w:r>
      <w:r>
        <w:rPr>
          <w:rFonts w:asciiTheme="minorHAnsi" w:hAnsiTheme="minorHAnsi" w:cstheme="minorHAnsi"/>
          <w:szCs w:val="20"/>
        </w:rPr>
        <w:t>-</w:t>
      </w:r>
      <w:r w:rsidRPr="009876EA">
        <w:rPr>
          <w:rFonts w:asciiTheme="minorHAnsi" w:hAnsiTheme="minorHAnsi" w:cstheme="minorHAnsi"/>
          <w:szCs w:val="20"/>
        </w:rPr>
        <w:t xml:space="preserve">sector </w:t>
      </w:r>
      <w:r>
        <w:rPr>
          <w:rFonts w:asciiTheme="minorHAnsi" w:hAnsiTheme="minorHAnsi" w:cstheme="minorHAnsi"/>
          <w:szCs w:val="20"/>
        </w:rPr>
        <w:t>childbirth</w:t>
      </w:r>
      <w:r w:rsidRPr="009876EA">
        <w:rPr>
          <w:rFonts w:asciiTheme="minorHAnsi" w:hAnsiTheme="minorHAnsi" w:cstheme="minorHAnsi"/>
          <w:szCs w:val="20"/>
        </w:rPr>
        <w:t xml:space="preserve"> facilities were conflated in a single response option (e.g., “private hospital/clinic”). Such response options were grouped into higher-level facilities, as were the few births recorded as having occurred “abroad”.</w:t>
      </w:r>
    </w:p>
    <w:p w:rsidR="00022EA6" w:rsidRPr="009876EA" w:rsidRDefault="00022EA6" w:rsidP="00FE4BAE">
      <w:pPr>
        <w:spacing w:after="0" w:line="240" w:lineRule="auto"/>
        <w:jc w:val="both"/>
        <w:rPr>
          <w:rFonts w:asciiTheme="minorHAnsi" w:hAnsiTheme="minorHAnsi" w:cstheme="minorHAnsi"/>
          <w:b/>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 xml:space="preserve">Birth attendant </w:t>
      </w:r>
    </w:p>
    <w:p w:rsidR="00022EA6" w:rsidRPr="009876EA" w:rsidRDefault="00022EA6" w:rsidP="00143509">
      <w:pPr>
        <w:pStyle w:val="CommentText"/>
        <w:jc w:val="both"/>
        <w:rPr>
          <w:rFonts w:asciiTheme="minorHAnsi" w:hAnsiTheme="minorHAnsi" w:cstheme="minorHAnsi"/>
        </w:rPr>
      </w:pPr>
      <w:r w:rsidRPr="009876EA">
        <w:rPr>
          <w:rFonts w:asciiTheme="minorHAnsi" w:hAnsiTheme="minorHAnsi" w:cstheme="minorHAnsi"/>
        </w:rPr>
        <w:t xml:space="preserve">Women were asked to list all types of people who assisted with each </w:t>
      </w:r>
      <w:r>
        <w:rPr>
          <w:rFonts w:asciiTheme="minorHAnsi" w:hAnsiTheme="minorHAnsi" w:cstheme="minorHAnsi"/>
        </w:rPr>
        <w:t>birth</w:t>
      </w:r>
      <w:r w:rsidRPr="009876EA">
        <w:rPr>
          <w:rFonts w:asciiTheme="minorHAnsi" w:hAnsiTheme="minorHAnsi" w:cstheme="minorHAnsi"/>
        </w:rPr>
        <w:t xml:space="preserve">. If multiple cadres of </w:t>
      </w:r>
      <w:r>
        <w:rPr>
          <w:rFonts w:asciiTheme="minorHAnsi" w:hAnsiTheme="minorHAnsi" w:cstheme="minorHAnsi"/>
        </w:rPr>
        <w:t>birth</w:t>
      </w:r>
      <w:r w:rsidRPr="009876EA">
        <w:rPr>
          <w:rFonts w:asciiTheme="minorHAnsi" w:hAnsiTheme="minorHAnsi" w:cstheme="minorHAnsi"/>
        </w:rPr>
        <w:t xml:space="preserve"> attendants were listed, the person with the highest level of qualification was considered. Eleven standardised categories of person assisting with </w:t>
      </w:r>
      <w:r>
        <w:rPr>
          <w:rFonts w:asciiTheme="minorHAnsi" w:hAnsiTheme="minorHAnsi" w:cstheme="minorHAnsi"/>
        </w:rPr>
        <w:t>birth</w:t>
      </w:r>
      <w:r w:rsidRPr="009876EA">
        <w:rPr>
          <w:rFonts w:asciiTheme="minorHAnsi" w:hAnsiTheme="minorHAnsi" w:cstheme="minorHAnsi"/>
        </w:rPr>
        <w:t xml:space="preserve"> were constructed from individual surveys’ response options:  doctor, nurse/midwife, auxiliary midwifery staff, auxiliary staff, traditional birth attendants (TBAs), community health workers (CHW), traditional practitioners, general facility staff, husband/friend/relative, others, and no-one.</w:t>
      </w:r>
      <w:r w:rsidRPr="006633C9">
        <w:rPr>
          <w:rFonts w:asciiTheme="minorHAnsi" w:hAnsiTheme="minorHAnsi" w:cstheme="minorHAnsi"/>
          <w:noProof/>
          <w:vertAlign w:val="superscript"/>
        </w:rPr>
        <w:t>58</w:t>
      </w:r>
      <w:r w:rsidRPr="009876EA">
        <w:rPr>
          <w:rFonts w:asciiTheme="minorHAnsi" w:hAnsiTheme="minorHAnsi" w:cstheme="minorHAnsi"/>
        </w:rPr>
        <w:t xml:space="preserve"> Professionals in the first three categories were considered to be skilled birth attendants (SBAs), corresponding with the World Health Organisation definition of skilled </w:t>
      </w:r>
      <w:r>
        <w:rPr>
          <w:rFonts w:asciiTheme="minorHAnsi" w:hAnsiTheme="minorHAnsi" w:cstheme="minorHAnsi"/>
        </w:rPr>
        <w:t>childbirth</w:t>
      </w:r>
      <w:r w:rsidRPr="009876EA">
        <w:rPr>
          <w:rFonts w:asciiTheme="minorHAnsi" w:hAnsiTheme="minorHAnsi" w:cstheme="minorHAnsi"/>
        </w:rPr>
        <w:t xml:space="preserve"> care as “accredited health professional – such as a midwife, doctor or nurse – who has been educated and trained to proficiency in the </w:t>
      </w:r>
      <w:r>
        <w:rPr>
          <w:rFonts w:asciiTheme="minorHAnsi" w:hAnsiTheme="minorHAnsi" w:cstheme="minorHAnsi"/>
        </w:rPr>
        <w:t>skills needed to manage uncomplicated</w:t>
      </w:r>
      <w:r w:rsidRPr="009876EA">
        <w:rPr>
          <w:rFonts w:asciiTheme="minorHAnsi" w:hAnsiTheme="minorHAnsi" w:cstheme="minorHAnsi"/>
        </w:rPr>
        <w:t xml:space="preserve"> pregnancies, childbirth and the immediate postnatal period, and in the identification, management and referral of complications in women and newborns”.</w:t>
      </w:r>
      <w:r w:rsidRPr="006633C9">
        <w:rPr>
          <w:rFonts w:asciiTheme="minorHAnsi" w:hAnsiTheme="minorHAnsi" w:cstheme="minorHAnsi"/>
          <w:noProof/>
          <w:vertAlign w:val="superscript"/>
        </w:rPr>
        <w:t>59</w:t>
      </w:r>
      <w:r w:rsidRPr="009876EA">
        <w:rPr>
          <w:rFonts w:asciiTheme="minorHAnsi" w:hAnsiTheme="minorHAnsi" w:cstheme="minorHAnsi"/>
        </w:rPr>
        <w:t xml:space="preserve"> Not all eleven categories of </w:t>
      </w:r>
      <w:r>
        <w:rPr>
          <w:rFonts w:asciiTheme="minorHAnsi" w:hAnsiTheme="minorHAnsi" w:cstheme="minorHAnsi"/>
        </w:rPr>
        <w:t>birth</w:t>
      </w:r>
      <w:r w:rsidRPr="009876EA">
        <w:rPr>
          <w:rFonts w:asciiTheme="minorHAnsi" w:hAnsiTheme="minorHAnsi" w:cstheme="minorHAnsi"/>
        </w:rPr>
        <w:t xml:space="preserve"> attendants existed in all countries. In analyses of </w:t>
      </w:r>
      <w:r>
        <w:rPr>
          <w:rFonts w:asciiTheme="minorHAnsi" w:hAnsiTheme="minorHAnsi" w:cstheme="minorHAnsi"/>
        </w:rPr>
        <w:t>childbirth</w:t>
      </w:r>
      <w:r w:rsidRPr="009876EA">
        <w:rPr>
          <w:rFonts w:asciiTheme="minorHAnsi" w:hAnsiTheme="minorHAnsi" w:cstheme="minorHAnsi"/>
        </w:rPr>
        <w:t xml:space="preserve"> attendant by facility level, we considered doctors separately from other SBAs (nurse/midwives and auxiliary midwifery staff), </w:t>
      </w:r>
      <w:proofErr w:type="gramStart"/>
      <w:r w:rsidRPr="009876EA">
        <w:rPr>
          <w:rFonts w:asciiTheme="minorHAnsi" w:hAnsiTheme="minorHAnsi" w:cstheme="minorHAnsi"/>
        </w:rPr>
        <w:t xml:space="preserve">and </w:t>
      </w:r>
      <w:r w:rsidR="00143509">
        <w:rPr>
          <w:rFonts w:asciiTheme="minorHAnsi" w:hAnsiTheme="minorHAnsi" w:cstheme="minorHAnsi"/>
        </w:rPr>
        <w:t>also</w:t>
      </w:r>
      <w:proofErr w:type="gramEnd"/>
      <w:r w:rsidR="00143509">
        <w:rPr>
          <w:rFonts w:asciiTheme="minorHAnsi" w:hAnsiTheme="minorHAnsi" w:cstheme="minorHAnsi"/>
        </w:rPr>
        <w:t xml:space="preserve"> showed non-SBA attendants.</w:t>
      </w:r>
      <w:bookmarkStart w:id="4" w:name="_GoBack"/>
      <w:bookmarkEnd w:id="4"/>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Ethical approval</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The DHS received institutional review centrally (ICF International) and approval by every participating country. This secondary analysis of anonymised data was approved by the Research Ethics Committee of the London School of Hygiene and Tropical Medicine, UK.</w:t>
      </w:r>
    </w:p>
    <w:p w:rsidR="00022EA6" w:rsidRPr="009876EA" w:rsidRDefault="00022EA6" w:rsidP="00FE4BAE">
      <w:pPr>
        <w:spacing w:after="0" w:line="240" w:lineRule="auto"/>
        <w:rPr>
          <w:rFonts w:asciiTheme="minorHAnsi" w:hAnsiTheme="minorHAnsi" w:cstheme="minorHAnsi"/>
          <w:szCs w:val="20"/>
        </w:rPr>
      </w:pPr>
    </w:p>
    <w:p w:rsidR="00022EA6" w:rsidRPr="009876EA" w:rsidRDefault="00022EA6" w:rsidP="00FE4BAE">
      <w:pPr>
        <w:spacing w:after="0" w:line="240" w:lineRule="auto"/>
        <w:rPr>
          <w:rFonts w:asciiTheme="minorHAnsi" w:hAnsiTheme="minorHAnsi" w:cstheme="minorHAnsi"/>
          <w:b/>
          <w:szCs w:val="20"/>
        </w:rPr>
      </w:pPr>
      <w:proofErr w:type="spellStart"/>
      <w:r w:rsidRPr="009876EA">
        <w:rPr>
          <w:rFonts w:asciiTheme="minorHAnsi" w:hAnsiTheme="minorHAnsi" w:cstheme="minorHAnsi"/>
          <w:b/>
          <w:szCs w:val="20"/>
        </w:rPr>
        <w:t>DHS</w:t>
      </w:r>
      <w:proofErr w:type="spellEnd"/>
      <w:r w:rsidRPr="009876EA">
        <w:rPr>
          <w:rFonts w:asciiTheme="minorHAnsi" w:hAnsiTheme="minorHAnsi" w:cstheme="minorHAnsi"/>
          <w:b/>
          <w:szCs w:val="20"/>
        </w:rPr>
        <w:t xml:space="preserve"> </w:t>
      </w:r>
      <w:proofErr w:type="spellStart"/>
      <w:r w:rsidRPr="009876EA">
        <w:rPr>
          <w:rFonts w:asciiTheme="minorHAnsi" w:hAnsiTheme="minorHAnsi" w:cstheme="minorHAnsi"/>
          <w:b/>
          <w:szCs w:val="20"/>
        </w:rPr>
        <w:t>Statcompiler</w:t>
      </w:r>
      <w:proofErr w:type="spellEnd"/>
      <w:r w:rsidRPr="009876EA">
        <w:rPr>
          <w:rFonts w:asciiTheme="minorHAnsi" w:hAnsiTheme="minorHAnsi" w:cstheme="minorHAnsi"/>
          <w:b/>
          <w:szCs w:val="20"/>
        </w:rPr>
        <w:t xml:space="preserve"> trend data</w:t>
      </w:r>
    </w:p>
    <w:p w:rsidR="00022EA6" w:rsidRPr="009876EA" w:rsidRDefault="00022EA6" w:rsidP="00FE4BAE">
      <w:pPr>
        <w:spacing w:after="0" w:line="240" w:lineRule="auto"/>
        <w:rPr>
          <w:rFonts w:asciiTheme="minorHAnsi" w:hAnsiTheme="minorHAnsi" w:cstheme="minorHAnsi"/>
          <w:szCs w:val="20"/>
        </w:rPr>
      </w:pPr>
      <w:r w:rsidRPr="009876EA">
        <w:rPr>
          <w:rFonts w:asciiTheme="minorHAnsi" w:hAnsiTheme="minorHAnsi" w:cstheme="minorHAnsi"/>
          <w:szCs w:val="20"/>
        </w:rPr>
        <w:t xml:space="preserve">Trends in facility delivery, for the countries with more than one DHS survey were obtained using </w:t>
      </w:r>
      <w:proofErr w:type="spellStart"/>
      <w:r w:rsidRPr="009876EA">
        <w:rPr>
          <w:rFonts w:asciiTheme="minorHAnsi" w:hAnsiTheme="minorHAnsi" w:cstheme="minorHAnsi"/>
          <w:szCs w:val="20"/>
        </w:rPr>
        <w:t>Statcompiler</w:t>
      </w:r>
      <w:proofErr w:type="spellEnd"/>
      <w:r w:rsidRPr="009876EA">
        <w:rPr>
          <w:rFonts w:asciiTheme="minorHAnsi" w:hAnsiTheme="minorHAnsi" w:cstheme="minorHAnsi"/>
          <w:szCs w:val="20"/>
        </w:rPr>
        <w:t>, accessed 18 January 2016.</w:t>
      </w:r>
    </w:p>
    <w:p w:rsidR="00022EA6" w:rsidRPr="009876EA" w:rsidRDefault="00022EA6" w:rsidP="00FE4BAE">
      <w:pPr>
        <w:spacing w:after="0" w:line="240" w:lineRule="auto"/>
        <w:rPr>
          <w:rFonts w:asciiTheme="minorHAnsi" w:hAnsiTheme="minorHAnsi" w:cstheme="minorHAnsi"/>
          <w:szCs w:val="20"/>
        </w:rPr>
      </w:pPr>
    </w:p>
    <w:p w:rsidR="00022EA6" w:rsidRPr="009876EA" w:rsidRDefault="00022EA6" w:rsidP="00FE4BAE">
      <w:pPr>
        <w:pStyle w:val="Heading2"/>
        <w:rPr>
          <w:rFonts w:cstheme="minorHAnsi"/>
          <w:sz w:val="20"/>
          <w:szCs w:val="20"/>
        </w:rPr>
      </w:pPr>
      <w:bookmarkStart w:id="5" w:name="_Toc458091846"/>
      <w:r w:rsidRPr="009876EA">
        <w:rPr>
          <w:rFonts w:cstheme="minorHAnsi"/>
          <w:sz w:val="20"/>
          <w:szCs w:val="20"/>
        </w:rPr>
        <w:t>Where do births occur, and with whom: Other data sources</w:t>
      </w:r>
      <w:bookmarkEnd w:id="5"/>
    </w:p>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 xml:space="preserve">Other data </w:t>
      </w:r>
      <w:proofErr w:type="gramStart"/>
      <w:r w:rsidRPr="009876EA">
        <w:rPr>
          <w:rFonts w:asciiTheme="minorHAnsi" w:hAnsiTheme="minorHAnsi" w:cstheme="minorHAnsi"/>
          <w:szCs w:val="20"/>
        </w:rPr>
        <w:t>were obtained</w:t>
      </w:r>
      <w:proofErr w:type="gramEnd"/>
      <w:r w:rsidRPr="009876EA">
        <w:rPr>
          <w:rFonts w:asciiTheme="minorHAnsi" w:hAnsiTheme="minorHAnsi" w:cstheme="minorHAnsi"/>
          <w:szCs w:val="20"/>
        </w:rPr>
        <w:t xml:space="preserve"> from country reports and indicator tabulations, as outlined in </w:t>
      </w:r>
      <w:r w:rsidRPr="009876EA">
        <w:rPr>
          <w:rFonts w:asciiTheme="minorHAnsi" w:hAnsiTheme="minorHAnsi" w:cstheme="minorHAnsi"/>
          <w:szCs w:val="20"/>
        </w:rPr>
        <w:fldChar w:fldCharType="begin"/>
      </w:r>
      <w:r w:rsidRPr="009876EA">
        <w:rPr>
          <w:rFonts w:asciiTheme="minorHAnsi" w:hAnsiTheme="minorHAnsi" w:cstheme="minorHAnsi"/>
          <w:szCs w:val="20"/>
        </w:rPr>
        <w:instrText xml:space="preserve"> REF _Ref439748487 \h  \* MERGEFORMAT </w:instrText>
      </w:r>
      <w:r w:rsidRPr="009876EA">
        <w:rPr>
          <w:rFonts w:asciiTheme="minorHAnsi" w:hAnsiTheme="minorHAnsi" w:cstheme="minorHAnsi"/>
          <w:szCs w:val="20"/>
        </w:rPr>
      </w:r>
      <w:r w:rsidRPr="009876EA">
        <w:rPr>
          <w:rFonts w:asciiTheme="minorHAnsi" w:hAnsiTheme="minorHAnsi" w:cstheme="minorHAnsi"/>
          <w:szCs w:val="20"/>
        </w:rPr>
        <w:fldChar w:fldCharType="separate"/>
      </w:r>
      <w:r w:rsidRPr="009876EA">
        <w:rPr>
          <w:rFonts w:asciiTheme="minorHAnsi" w:hAnsiTheme="minorHAnsi" w:cstheme="minorHAnsi"/>
          <w:szCs w:val="20"/>
        </w:rPr>
        <w:t xml:space="preserve">Supplementary Table </w:t>
      </w:r>
      <w:r w:rsidRPr="009876EA">
        <w:rPr>
          <w:rFonts w:asciiTheme="minorHAnsi" w:hAnsiTheme="minorHAnsi" w:cstheme="minorHAnsi"/>
          <w:noProof/>
          <w:szCs w:val="20"/>
        </w:rPr>
        <w:t>1</w:t>
      </w:r>
      <w:r w:rsidRPr="009876EA">
        <w:rPr>
          <w:rFonts w:asciiTheme="minorHAnsi" w:hAnsiTheme="minorHAnsi" w:cstheme="minorHAnsi"/>
          <w:szCs w:val="20"/>
        </w:rPr>
        <w:fldChar w:fldCharType="end"/>
      </w:r>
      <w:r w:rsidRPr="009876EA">
        <w:rPr>
          <w:rFonts w:asciiTheme="minorHAnsi" w:hAnsiTheme="minorHAnsi" w:cstheme="minorHAnsi"/>
          <w:szCs w:val="20"/>
        </w:rPr>
        <w:t xml:space="preserve">, below. Some basic calculations were made using reported percentages. For Mongolia and Russia, data were only available on the percentage of deliveries in health facilities and percentage of deliveries with a skilled birth attendant (with no cross tabulation of these indicators). Since fewer than 2% of deliveries occurred at home, and there was a </w:t>
      </w:r>
      <w:r w:rsidRPr="009876EA">
        <w:rPr>
          <w:rFonts w:asciiTheme="minorHAnsi" w:hAnsiTheme="minorHAnsi" w:cstheme="minorHAnsi"/>
          <w:b/>
          <w:szCs w:val="20"/>
        </w:rPr>
        <w:t>higher</w:t>
      </w:r>
      <w:r w:rsidRPr="009876EA">
        <w:rPr>
          <w:rFonts w:asciiTheme="minorHAnsi" w:hAnsiTheme="minorHAnsi" w:cstheme="minorHAnsi"/>
          <w:szCs w:val="20"/>
        </w:rPr>
        <w:t xml:space="preserve"> proportion of deliveries in health facilities than deliveries with SBAs, we assumed that all deliveries at home were without an SBA and a very small percentage in facilities occurred without an SBA</w:t>
      </w:r>
    </w:p>
    <w:p w:rsidR="00022EA6" w:rsidRDefault="00022EA6">
      <w:pPr>
        <w:rPr>
          <w:rFonts w:asciiTheme="minorHAnsi" w:hAnsiTheme="minorHAnsi" w:cstheme="minorHAnsi"/>
          <w:b/>
          <w:iCs/>
          <w:szCs w:val="20"/>
        </w:rPr>
      </w:pPr>
      <w:bookmarkStart w:id="6" w:name="_Ref439748487"/>
      <w:r>
        <w:rPr>
          <w:rFonts w:cstheme="minorHAnsi"/>
          <w:szCs w:val="20"/>
        </w:rPr>
        <w:br w:type="page"/>
      </w:r>
    </w:p>
    <w:p w:rsidR="00022EA6" w:rsidRPr="009876EA" w:rsidRDefault="00022EA6" w:rsidP="00FE4BAE">
      <w:pPr>
        <w:pStyle w:val="Caption"/>
        <w:keepNext/>
        <w:rPr>
          <w:rFonts w:cstheme="minorHAnsi"/>
          <w:sz w:val="20"/>
          <w:szCs w:val="20"/>
        </w:rPr>
      </w:pPr>
      <w:r w:rsidRPr="009876EA">
        <w:rPr>
          <w:rFonts w:cstheme="minorHAnsi"/>
          <w:sz w:val="20"/>
          <w:szCs w:val="20"/>
        </w:rPr>
        <w:lastRenderedPageBreak/>
        <w:t xml:space="preserve">Supplementary Table </w:t>
      </w:r>
      <w:r w:rsidRPr="009876EA">
        <w:rPr>
          <w:rFonts w:cstheme="minorHAnsi"/>
          <w:sz w:val="20"/>
          <w:szCs w:val="20"/>
        </w:rPr>
        <w:fldChar w:fldCharType="begin"/>
      </w:r>
      <w:r w:rsidRPr="009876EA">
        <w:rPr>
          <w:rFonts w:cstheme="minorHAnsi"/>
          <w:sz w:val="20"/>
          <w:szCs w:val="20"/>
        </w:rPr>
        <w:instrText xml:space="preserve"> SEQ Supplementary_Table \* ARABIC </w:instrText>
      </w:r>
      <w:r w:rsidRPr="009876EA">
        <w:rPr>
          <w:rFonts w:cstheme="minorHAnsi"/>
          <w:sz w:val="20"/>
          <w:szCs w:val="20"/>
        </w:rPr>
        <w:fldChar w:fldCharType="separate"/>
      </w:r>
      <w:r w:rsidRPr="009876EA">
        <w:rPr>
          <w:rFonts w:cstheme="minorHAnsi"/>
          <w:noProof/>
          <w:sz w:val="20"/>
          <w:szCs w:val="20"/>
        </w:rPr>
        <w:t>1</w:t>
      </w:r>
      <w:r w:rsidRPr="009876EA">
        <w:rPr>
          <w:rFonts w:cstheme="minorHAnsi"/>
          <w:noProof/>
          <w:sz w:val="20"/>
          <w:szCs w:val="20"/>
        </w:rPr>
        <w:fldChar w:fldCharType="end"/>
      </w:r>
      <w:bookmarkEnd w:id="6"/>
      <w:r w:rsidRPr="009876EA">
        <w:rPr>
          <w:rFonts w:cstheme="minorHAnsi"/>
          <w:sz w:val="20"/>
          <w:szCs w:val="20"/>
        </w:rPr>
        <w:t>: Sources of data on where births occur, and with whom, for countries that do not have DHS available</w:t>
      </w:r>
    </w:p>
    <w:tbl>
      <w:tblPr>
        <w:tblW w:w="104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900"/>
        <w:gridCol w:w="8090"/>
      </w:tblGrid>
      <w:tr w:rsidR="00022EA6" w:rsidRPr="009876EA" w:rsidTr="00FE4BAE">
        <w:trPr>
          <w:trHeight w:val="300"/>
        </w:trPr>
        <w:tc>
          <w:tcPr>
            <w:tcW w:w="1440" w:type="dxa"/>
            <w:shd w:val="clear" w:color="auto" w:fill="auto"/>
            <w:vAlign w:val="center"/>
            <w:hideMark/>
          </w:tcPr>
          <w:p w:rsidR="00022EA6" w:rsidRPr="00143509" w:rsidRDefault="00022EA6">
            <w:pPr>
              <w:spacing w:after="0" w:line="240" w:lineRule="auto"/>
              <w:rPr>
                <w:rFonts w:asciiTheme="minorHAnsi" w:eastAsia="Times New Roman" w:hAnsiTheme="minorHAnsi" w:cstheme="minorHAnsi"/>
                <w:b/>
                <w:bCs/>
                <w:color w:val="000000"/>
                <w:szCs w:val="20"/>
                <w:lang w:eastAsia="en-GB"/>
              </w:rPr>
            </w:pPr>
            <w:r w:rsidRPr="00143509">
              <w:rPr>
                <w:rFonts w:asciiTheme="minorHAnsi" w:eastAsia="Times New Roman" w:hAnsiTheme="minorHAnsi" w:cstheme="minorHAnsi"/>
                <w:b/>
                <w:bCs/>
                <w:color w:val="000000"/>
                <w:szCs w:val="20"/>
                <w:lang w:eastAsia="en-GB"/>
              </w:rPr>
              <w:t>Country</w:t>
            </w:r>
          </w:p>
        </w:tc>
        <w:tc>
          <w:tcPr>
            <w:tcW w:w="900" w:type="dxa"/>
            <w:shd w:val="clear" w:color="auto" w:fill="auto"/>
            <w:vAlign w:val="center"/>
            <w:hideMark/>
          </w:tcPr>
          <w:p w:rsidR="00022EA6" w:rsidRPr="00143509" w:rsidRDefault="00022EA6">
            <w:pPr>
              <w:spacing w:after="0" w:line="240" w:lineRule="auto"/>
              <w:jc w:val="center"/>
              <w:rPr>
                <w:rFonts w:asciiTheme="minorHAnsi" w:eastAsia="Times New Roman" w:hAnsiTheme="minorHAnsi" w:cstheme="minorHAnsi"/>
                <w:b/>
                <w:bCs/>
                <w:color w:val="000000"/>
                <w:szCs w:val="20"/>
                <w:lang w:eastAsia="en-GB"/>
              </w:rPr>
            </w:pPr>
            <w:r w:rsidRPr="00143509">
              <w:rPr>
                <w:rFonts w:asciiTheme="minorHAnsi" w:eastAsia="Times New Roman" w:hAnsiTheme="minorHAnsi" w:cstheme="minorHAnsi"/>
                <w:b/>
                <w:bCs/>
                <w:color w:val="000000"/>
                <w:szCs w:val="20"/>
                <w:lang w:eastAsia="en-GB"/>
              </w:rPr>
              <w:t>Year</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b/>
                <w:bCs/>
                <w:color w:val="000000"/>
                <w:szCs w:val="20"/>
                <w:lang w:eastAsia="en-GB"/>
              </w:rPr>
            </w:pPr>
            <w:r w:rsidRPr="00143509">
              <w:rPr>
                <w:rFonts w:asciiTheme="minorHAnsi" w:eastAsia="Times New Roman" w:hAnsiTheme="minorHAnsi" w:cstheme="minorHAnsi"/>
                <w:b/>
                <w:bCs/>
                <w:color w:val="000000"/>
                <w:szCs w:val="20"/>
                <w:lang w:eastAsia="en-GB"/>
              </w:rPr>
              <w:t xml:space="preserve">Source </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Argentina</w:t>
            </w:r>
          </w:p>
        </w:tc>
        <w:tc>
          <w:tcPr>
            <w:tcW w:w="900" w:type="dxa"/>
            <w:shd w:val="clear" w:color="auto" w:fill="auto"/>
            <w:noWrap/>
            <w:vAlign w:val="center"/>
            <w:hideMark/>
          </w:tcPr>
          <w:p w:rsidR="00022EA6" w:rsidRPr="00143509" w:rsidRDefault="00022EA6">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2013</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proofErr w:type="spellStart"/>
            <w:r w:rsidRPr="00143509">
              <w:rPr>
                <w:rFonts w:asciiTheme="minorHAnsi" w:eastAsia="Times New Roman" w:hAnsiTheme="minorHAnsi" w:cstheme="minorHAnsi"/>
                <w:szCs w:val="20"/>
                <w:lang w:eastAsia="en-GB"/>
              </w:rPr>
              <w:t>Ministerio</w:t>
            </w:r>
            <w:proofErr w:type="spellEnd"/>
            <w:r w:rsidRPr="00143509">
              <w:rPr>
                <w:rFonts w:asciiTheme="minorHAnsi" w:eastAsia="Times New Roman" w:hAnsiTheme="minorHAnsi" w:cstheme="minorHAnsi"/>
                <w:szCs w:val="20"/>
                <w:lang w:eastAsia="en-GB"/>
              </w:rPr>
              <w:t xml:space="preserve"> de </w:t>
            </w:r>
            <w:proofErr w:type="spellStart"/>
            <w:r w:rsidRPr="00143509">
              <w:rPr>
                <w:rFonts w:asciiTheme="minorHAnsi" w:eastAsia="Times New Roman" w:hAnsiTheme="minorHAnsi" w:cstheme="minorHAnsi"/>
                <w:szCs w:val="20"/>
                <w:lang w:eastAsia="en-GB"/>
              </w:rPr>
              <w:t>Salud</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Estadisticas</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Vitales</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Informacion</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Basica</w:t>
            </w:r>
            <w:proofErr w:type="spellEnd"/>
            <w:r w:rsidRPr="00143509">
              <w:rPr>
                <w:rFonts w:asciiTheme="minorHAnsi" w:eastAsia="Times New Roman" w:hAnsiTheme="minorHAnsi" w:cstheme="minorHAnsi"/>
                <w:szCs w:val="20"/>
                <w:lang w:eastAsia="en-GB"/>
              </w:rPr>
              <w:t xml:space="preserve"> – </w:t>
            </w:r>
            <w:proofErr w:type="spellStart"/>
            <w:r w:rsidRPr="00143509">
              <w:rPr>
                <w:rFonts w:asciiTheme="minorHAnsi" w:eastAsia="Times New Roman" w:hAnsiTheme="minorHAnsi" w:cstheme="minorHAnsi"/>
                <w:szCs w:val="20"/>
                <w:lang w:eastAsia="en-GB"/>
              </w:rPr>
              <w:t>Ano</w:t>
            </w:r>
            <w:proofErr w:type="spellEnd"/>
            <w:r w:rsidRPr="00143509">
              <w:rPr>
                <w:rFonts w:asciiTheme="minorHAnsi" w:eastAsia="Times New Roman" w:hAnsiTheme="minorHAnsi" w:cstheme="minorHAnsi"/>
                <w:szCs w:val="20"/>
                <w:lang w:eastAsia="en-GB"/>
              </w:rPr>
              <w:t xml:space="preserve"> 2013. Bueno Aires: 2014. Available at: </w:t>
            </w:r>
            <w:hyperlink r:id="rId7" w:history="1">
              <w:r w:rsidRPr="00143509">
                <w:rPr>
                  <w:rStyle w:val="Hyperlink"/>
                  <w:rFonts w:asciiTheme="minorHAnsi" w:eastAsia="Times New Roman" w:hAnsiTheme="minorHAnsi" w:cstheme="minorHAnsi"/>
                  <w:szCs w:val="20"/>
                  <w:lang w:eastAsia="en-GB"/>
                </w:rPr>
                <w:t>http://www.deis.msal.gov.ar/Publicaciones/Archivos/Serie5Nro57.pdf</w:t>
              </w:r>
            </w:hyperlink>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Brazil</w:t>
            </w:r>
          </w:p>
        </w:tc>
        <w:tc>
          <w:tcPr>
            <w:tcW w:w="900" w:type="dxa"/>
            <w:shd w:val="clear" w:color="auto" w:fill="auto"/>
            <w:noWrap/>
            <w:vAlign w:val="center"/>
            <w:hideMark/>
          </w:tcPr>
          <w:p w:rsidR="00022EA6" w:rsidRPr="00143509" w:rsidRDefault="00022EA6">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2006</w:t>
            </w:r>
          </w:p>
        </w:tc>
        <w:tc>
          <w:tcPr>
            <w:tcW w:w="8090" w:type="dxa"/>
            <w:vAlign w:val="center"/>
          </w:tcPr>
          <w:p w:rsidR="00022EA6" w:rsidRPr="00143509" w:rsidRDefault="00022EA6" w:rsidP="00143509">
            <w:pPr>
              <w:spacing w:after="0" w:line="240" w:lineRule="auto"/>
              <w:rPr>
                <w:rFonts w:asciiTheme="minorHAnsi" w:eastAsia="Times New Roman" w:hAnsiTheme="minorHAnsi" w:cstheme="minorHAnsi"/>
                <w:szCs w:val="20"/>
                <w:lang w:eastAsia="en-GB"/>
              </w:rPr>
            </w:pPr>
            <w:proofErr w:type="spellStart"/>
            <w:r w:rsidRPr="00143509">
              <w:rPr>
                <w:rFonts w:asciiTheme="minorHAnsi" w:eastAsia="Times New Roman" w:hAnsiTheme="minorHAnsi" w:cstheme="minorHAnsi"/>
                <w:szCs w:val="20"/>
                <w:lang w:eastAsia="en-GB"/>
              </w:rPr>
              <w:t>Brasil</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Ministério</w:t>
            </w:r>
            <w:proofErr w:type="spellEnd"/>
            <w:r w:rsidRPr="00143509">
              <w:rPr>
                <w:rFonts w:asciiTheme="minorHAnsi" w:eastAsia="Times New Roman" w:hAnsiTheme="minorHAnsi" w:cstheme="minorHAnsi"/>
                <w:szCs w:val="20"/>
                <w:lang w:eastAsia="en-GB"/>
              </w:rPr>
              <w:t xml:space="preserve"> da </w:t>
            </w:r>
            <w:proofErr w:type="spellStart"/>
            <w:r w:rsidRPr="00143509">
              <w:rPr>
                <w:rFonts w:asciiTheme="minorHAnsi" w:eastAsia="Times New Roman" w:hAnsiTheme="minorHAnsi" w:cstheme="minorHAnsi"/>
                <w:szCs w:val="20"/>
                <w:lang w:eastAsia="en-GB"/>
              </w:rPr>
              <w:t>Saúde</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Pesquisa</w:t>
            </w:r>
            <w:proofErr w:type="spellEnd"/>
            <w:r w:rsidRPr="00143509">
              <w:rPr>
                <w:rFonts w:asciiTheme="minorHAnsi" w:eastAsia="Times New Roman" w:hAnsiTheme="minorHAnsi" w:cstheme="minorHAnsi"/>
                <w:szCs w:val="20"/>
                <w:lang w:eastAsia="en-GB"/>
              </w:rPr>
              <w:t xml:space="preserve"> Nacional de </w:t>
            </w:r>
            <w:proofErr w:type="spellStart"/>
            <w:r w:rsidRPr="00143509">
              <w:rPr>
                <w:rFonts w:asciiTheme="minorHAnsi" w:eastAsia="Times New Roman" w:hAnsiTheme="minorHAnsi" w:cstheme="minorHAnsi"/>
                <w:szCs w:val="20"/>
                <w:lang w:eastAsia="en-GB"/>
              </w:rPr>
              <w:t>Demografia</w:t>
            </w:r>
            <w:proofErr w:type="spellEnd"/>
            <w:r w:rsidRPr="00143509">
              <w:rPr>
                <w:rFonts w:asciiTheme="minorHAnsi" w:eastAsia="Times New Roman" w:hAnsiTheme="minorHAnsi" w:cstheme="minorHAnsi"/>
                <w:szCs w:val="20"/>
                <w:lang w:eastAsia="en-GB"/>
              </w:rPr>
              <w:t xml:space="preserve"> e </w:t>
            </w:r>
            <w:proofErr w:type="spellStart"/>
            <w:r w:rsidRPr="00143509">
              <w:rPr>
                <w:rFonts w:asciiTheme="minorHAnsi" w:eastAsia="Times New Roman" w:hAnsiTheme="minorHAnsi" w:cstheme="minorHAnsi"/>
                <w:szCs w:val="20"/>
                <w:lang w:eastAsia="en-GB"/>
              </w:rPr>
              <w:t>Saúde</w:t>
            </w:r>
            <w:proofErr w:type="spellEnd"/>
            <w:r w:rsidRPr="00143509">
              <w:rPr>
                <w:rFonts w:asciiTheme="minorHAnsi" w:eastAsia="Times New Roman" w:hAnsiTheme="minorHAnsi" w:cstheme="minorHAnsi"/>
                <w:szCs w:val="20"/>
                <w:lang w:eastAsia="en-GB"/>
              </w:rPr>
              <w:t xml:space="preserve"> da </w:t>
            </w:r>
            <w:proofErr w:type="spellStart"/>
            <w:r w:rsidR="00143509" w:rsidRPr="00143509">
              <w:rPr>
                <w:rFonts w:asciiTheme="minorHAnsi" w:eastAsia="Times New Roman" w:hAnsiTheme="minorHAnsi" w:cstheme="minorHAnsi"/>
                <w:szCs w:val="20"/>
                <w:lang w:eastAsia="en-GB"/>
              </w:rPr>
              <w:t>Criança</w:t>
            </w:r>
            <w:proofErr w:type="spellEnd"/>
            <w:r w:rsidR="00143509" w:rsidRPr="00143509">
              <w:rPr>
                <w:rFonts w:asciiTheme="minorHAnsi" w:eastAsia="Times New Roman" w:hAnsiTheme="minorHAnsi" w:cstheme="minorHAnsi"/>
                <w:szCs w:val="20"/>
                <w:lang w:eastAsia="en-GB"/>
              </w:rPr>
              <w:t xml:space="preserve"> e da </w:t>
            </w:r>
            <w:proofErr w:type="spellStart"/>
            <w:r w:rsidR="00143509" w:rsidRPr="00143509">
              <w:rPr>
                <w:rFonts w:asciiTheme="minorHAnsi" w:eastAsia="Times New Roman" w:hAnsiTheme="minorHAnsi" w:cstheme="minorHAnsi"/>
                <w:szCs w:val="20"/>
                <w:lang w:eastAsia="en-GB"/>
              </w:rPr>
              <w:t>Mulher</w:t>
            </w:r>
            <w:proofErr w:type="spellEnd"/>
            <w:r w:rsidR="00143509" w:rsidRPr="00143509">
              <w:rPr>
                <w:rFonts w:asciiTheme="minorHAnsi" w:eastAsia="Times New Roman" w:hAnsiTheme="minorHAnsi" w:cstheme="minorHAnsi"/>
                <w:szCs w:val="20"/>
                <w:lang w:eastAsia="en-GB"/>
              </w:rPr>
              <w:t xml:space="preserve"> – </w:t>
            </w:r>
            <w:proofErr w:type="spellStart"/>
            <w:r w:rsidR="00143509" w:rsidRPr="00143509">
              <w:rPr>
                <w:rFonts w:asciiTheme="minorHAnsi" w:eastAsia="Times New Roman" w:hAnsiTheme="minorHAnsi" w:cstheme="minorHAnsi"/>
                <w:szCs w:val="20"/>
                <w:lang w:eastAsia="en-GB"/>
              </w:rPr>
              <w:t>PNDS</w:t>
            </w:r>
            <w:proofErr w:type="spellEnd"/>
            <w:r w:rsidR="00143509" w:rsidRPr="00143509">
              <w:rPr>
                <w:rFonts w:asciiTheme="minorHAnsi" w:eastAsia="Times New Roman" w:hAnsiTheme="minorHAnsi" w:cstheme="minorHAnsi"/>
                <w:szCs w:val="20"/>
                <w:lang w:eastAsia="en-GB"/>
              </w:rPr>
              <w:t xml:space="preserve"> 2006</w:t>
            </w:r>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dimensões</w:t>
            </w:r>
            <w:proofErr w:type="spellEnd"/>
            <w:r w:rsidRPr="00143509">
              <w:rPr>
                <w:rFonts w:asciiTheme="minorHAnsi" w:eastAsia="Times New Roman" w:hAnsiTheme="minorHAnsi" w:cstheme="minorHAnsi"/>
                <w:szCs w:val="20"/>
                <w:lang w:eastAsia="en-GB"/>
              </w:rPr>
              <w:t xml:space="preserve"> do </w:t>
            </w:r>
            <w:proofErr w:type="spellStart"/>
            <w:r w:rsidRPr="00143509">
              <w:rPr>
                <w:rFonts w:asciiTheme="minorHAnsi" w:eastAsia="Times New Roman" w:hAnsiTheme="minorHAnsi" w:cstheme="minorHAnsi"/>
                <w:szCs w:val="20"/>
                <w:lang w:eastAsia="en-GB"/>
              </w:rPr>
              <w:t>processo</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reprodutivo</w:t>
            </w:r>
            <w:proofErr w:type="spellEnd"/>
            <w:r w:rsidRPr="00143509">
              <w:rPr>
                <w:rFonts w:asciiTheme="minorHAnsi" w:eastAsia="Times New Roman" w:hAnsiTheme="minorHAnsi" w:cstheme="minorHAnsi"/>
                <w:szCs w:val="20"/>
                <w:lang w:eastAsia="en-GB"/>
              </w:rPr>
              <w:t xml:space="preserve"> e da </w:t>
            </w:r>
            <w:proofErr w:type="spellStart"/>
            <w:r w:rsidRPr="00143509">
              <w:rPr>
                <w:rFonts w:asciiTheme="minorHAnsi" w:eastAsia="Times New Roman" w:hAnsiTheme="minorHAnsi" w:cstheme="minorHAnsi"/>
                <w:szCs w:val="20"/>
                <w:lang w:eastAsia="en-GB"/>
              </w:rPr>
              <w:t>saúde</w:t>
            </w:r>
            <w:proofErr w:type="spellEnd"/>
            <w:r w:rsidRPr="00143509">
              <w:rPr>
                <w:rFonts w:asciiTheme="minorHAnsi" w:eastAsia="Times New Roman" w:hAnsiTheme="minorHAnsi" w:cstheme="minorHAnsi"/>
                <w:szCs w:val="20"/>
                <w:lang w:eastAsia="en-GB"/>
              </w:rPr>
              <w:t xml:space="preserve"> da </w:t>
            </w:r>
            <w:proofErr w:type="spellStart"/>
            <w:r w:rsidRPr="00143509">
              <w:rPr>
                <w:rFonts w:asciiTheme="minorHAnsi" w:eastAsia="Times New Roman" w:hAnsiTheme="minorHAnsi" w:cstheme="minorHAnsi"/>
                <w:szCs w:val="20"/>
                <w:lang w:eastAsia="en-GB"/>
              </w:rPr>
              <w:t>criança</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Ministério</w:t>
            </w:r>
            <w:proofErr w:type="spellEnd"/>
            <w:r w:rsidRPr="00143509">
              <w:rPr>
                <w:rFonts w:asciiTheme="minorHAnsi" w:eastAsia="Times New Roman" w:hAnsiTheme="minorHAnsi" w:cstheme="minorHAnsi"/>
                <w:szCs w:val="20"/>
                <w:lang w:eastAsia="en-GB"/>
              </w:rPr>
              <w:t xml:space="preserve"> da </w:t>
            </w:r>
            <w:proofErr w:type="spellStart"/>
            <w:r w:rsidRPr="00143509">
              <w:rPr>
                <w:rFonts w:asciiTheme="minorHAnsi" w:eastAsia="Times New Roman" w:hAnsiTheme="minorHAnsi" w:cstheme="minorHAnsi"/>
                <w:szCs w:val="20"/>
                <w:lang w:eastAsia="en-GB"/>
              </w:rPr>
              <w:t>Saúde</w:t>
            </w:r>
            <w:proofErr w:type="spellEnd"/>
            <w:r w:rsidRPr="00143509">
              <w:rPr>
                <w:rFonts w:asciiTheme="minorHAnsi" w:eastAsia="Times New Roman" w:hAnsiTheme="minorHAnsi" w:cstheme="minorHAnsi"/>
                <w:szCs w:val="20"/>
                <w:lang w:eastAsia="en-GB"/>
              </w:rPr>
              <w:t xml:space="preserve">, Centro </w:t>
            </w:r>
            <w:proofErr w:type="spellStart"/>
            <w:r w:rsidRPr="00143509">
              <w:rPr>
                <w:rFonts w:asciiTheme="minorHAnsi" w:eastAsia="Times New Roman" w:hAnsiTheme="minorHAnsi" w:cstheme="minorHAnsi"/>
                <w:szCs w:val="20"/>
                <w:lang w:eastAsia="en-GB"/>
              </w:rPr>
              <w:t>Brasileiro</w:t>
            </w:r>
            <w:proofErr w:type="spellEnd"/>
            <w:r w:rsidRPr="00143509">
              <w:rPr>
                <w:rFonts w:asciiTheme="minorHAnsi" w:eastAsia="Times New Roman" w:hAnsiTheme="minorHAnsi" w:cstheme="minorHAnsi"/>
                <w:szCs w:val="20"/>
                <w:lang w:eastAsia="en-GB"/>
              </w:rPr>
              <w:t xml:space="preserve"> de </w:t>
            </w:r>
            <w:proofErr w:type="spellStart"/>
            <w:r w:rsidRPr="00143509">
              <w:rPr>
                <w:rFonts w:asciiTheme="minorHAnsi" w:eastAsia="Times New Roman" w:hAnsiTheme="minorHAnsi" w:cstheme="minorHAnsi"/>
                <w:szCs w:val="20"/>
                <w:lang w:eastAsia="en-GB"/>
              </w:rPr>
              <w:t>Aná</w:t>
            </w:r>
            <w:r w:rsidR="00143509" w:rsidRPr="00143509">
              <w:rPr>
                <w:rFonts w:asciiTheme="minorHAnsi" w:eastAsia="Times New Roman" w:hAnsiTheme="minorHAnsi" w:cstheme="minorHAnsi"/>
                <w:szCs w:val="20"/>
                <w:lang w:eastAsia="en-GB"/>
              </w:rPr>
              <w:t>lise</w:t>
            </w:r>
            <w:proofErr w:type="spellEnd"/>
            <w:r w:rsidR="00143509" w:rsidRPr="00143509">
              <w:rPr>
                <w:rFonts w:asciiTheme="minorHAnsi" w:eastAsia="Times New Roman" w:hAnsiTheme="minorHAnsi" w:cstheme="minorHAnsi"/>
                <w:szCs w:val="20"/>
                <w:lang w:eastAsia="en-GB"/>
              </w:rPr>
              <w:t xml:space="preserve"> e </w:t>
            </w:r>
            <w:proofErr w:type="spellStart"/>
            <w:r w:rsidR="00143509" w:rsidRPr="00143509">
              <w:rPr>
                <w:rFonts w:asciiTheme="minorHAnsi" w:eastAsia="Times New Roman" w:hAnsiTheme="minorHAnsi" w:cstheme="minorHAnsi"/>
                <w:szCs w:val="20"/>
                <w:lang w:eastAsia="en-GB"/>
              </w:rPr>
              <w:t>Planejamento</w:t>
            </w:r>
            <w:proofErr w:type="spellEnd"/>
            <w:r w:rsidR="00143509" w:rsidRPr="00143509">
              <w:rPr>
                <w:rFonts w:asciiTheme="minorHAnsi" w:eastAsia="Times New Roman" w:hAnsiTheme="minorHAnsi" w:cstheme="minorHAnsi"/>
                <w:szCs w:val="20"/>
                <w:lang w:eastAsia="en-GB"/>
              </w:rPr>
              <w:t>. Brasília</w:t>
            </w:r>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Ministério</w:t>
            </w:r>
            <w:proofErr w:type="spellEnd"/>
            <w:r w:rsidRPr="00143509">
              <w:rPr>
                <w:rFonts w:asciiTheme="minorHAnsi" w:eastAsia="Times New Roman" w:hAnsiTheme="minorHAnsi" w:cstheme="minorHAnsi"/>
                <w:szCs w:val="20"/>
                <w:lang w:eastAsia="en-GB"/>
              </w:rPr>
              <w:t xml:space="preserve"> da </w:t>
            </w:r>
            <w:proofErr w:type="spellStart"/>
            <w:r w:rsidRPr="00143509">
              <w:rPr>
                <w:rFonts w:asciiTheme="minorHAnsi" w:eastAsia="Times New Roman" w:hAnsiTheme="minorHAnsi" w:cstheme="minorHAnsi"/>
                <w:szCs w:val="20"/>
                <w:lang w:eastAsia="en-GB"/>
              </w:rPr>
              <w:t>Saúde</w:t>
            </w:r>
            <w:proofErr w:type="spellEnd"/>
            <w:r w:rsidRPr="00143509">
              <w:rPr>
                <w:rFonts w:asciiTheme="minorHAnsi" w:eastAsia="Times New Roman" w:hAnsiTheme="minorHAnsi" w:cstheme="minorHAnsi"/>
                <w:szCs w:val="20"/>
                <w:lang w:eastAsia="en-GB"/>
              </w:rPr>
              <w:t xml:space="preserve">, 2009. </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Canada</w:t>
            </w:r>
          </w:p>
        </w:tc>
        <w:tc>
          <w:tcPr>
            <w:tcW w:w="900" w:type="dxa"/>
            <w:shd w:val="clear" w:color="auto" w:fill="auto"/>
            <w:noWrap/>
            <w:vAlign w:val="center"/>
            <w:hideMark/>
          </w:tcPr>
          <w:p w:rsidR="00022EA6" w:rsidRPr="00143509" w:rsidRDefault="00022EA6">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2006-2007</w:t>
            </w:r>
          </w:p>
        </w:tc>
        <w:tc>
          <w:tcPr>
            <w:tcW w:w="8090" w:type="dxa"/>
            <w:vAlign w:val="center"/>
          </w:tcPr>
          <w:p w:rsidR="00022EA6" w:rsidRPr="00143509" w:rsidRDefault="00022EA6" w:rsidP="00143509">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Available at </w:t>
            </w:r>
            <w:hyperlink r:id="rId8" w:history="1">
              <w:r w:rsidRPr="00143509">
                <w:rPr>
                  <w:rStyle w:val="Hyperlink"/>
                  <w:rFonts w:asciiTheme="minorHAnsi" w:eastAsia="Times New Roman" w:hAnsiTheme="minorHAnsi" w:cstheme="minorHAnsi"/>
                  <w:szCs w:val="20"/>
                  <w:lang w:eastAsia="en-GB"/>
                </w:rPr>
                <w:t>http://www5.statcan.gc.ca/cansim/pick-choisir?lang=eng&amp;p2=33&amp;id=1024516</w:t>
              </w:r>
            </w:hyperlink>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China</w:t>
            </w:r>
          </w:p>
        </w:tc>
        <w:tc>
          <w:tcPr>
            <w:tcW w:w="900" w:type="dxa"/>
            <w:shd w:val="clear" w:color="auto" w:fill="auto"/>
            <w:vAlign w:val="center"/>
          </w:tcPr>
          <w:p w:rsidR="00022EA6" w:rsidRPr="00143509" w:rsidRDefault="00022EA6">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2008</w:t>
            </w:r>
          </w:p>
        </w:tc>
        <w:tc>
          <w:tcPr>
            <w:tcW w:w="8090" w:type="dxa"/>
            <w:vAlign w:val="center"/>
          </w:tcPr>
          <w:p w:rsidR="00022EA6" w:rsidRPr="00143509" w:rsidRDefault="00022EA6" w:rsidP="00143509">
            <w:pPr>
              <w:spacing w:after="0" w:line="240" w:lineRule="auto"/>
              <w:rPr>
                <w:rFonts w:asciiTheme="minorHAnsi" w:eastAsia="Times New Roman" w:hAnsiTheme="minorHAnsi" w:cstheme="minorHAnsi"/>
                <w:color w:val="000000"/>
                <w:szCs w:val="20"/>
                <w:lang w:eastAsia="en-GB"/>
              </w:rPr>
            </w:pPr>
            <w:r w:rsidRPr="00143509">
              <w:rPr>
                <w:rFonts w:asciiTheme="minorHAnsi" w:hAnsiTheme="minorHAnsi" w:cstheme="minorHAnsi"/>
                <w:noProof/>
                <w:szCs w:val="20"/>
              </w:rPr>
              <w:t xml:space="preserve">Feng XL, Xu L, Guo Y, Ronsmans C. Socioeconomic inequalities in hospital births in China between 1988 and 2008. </w:t>
            </w:r>
            <w:r w:rsidRPr="00143509">
              <w:rPr>
                <w:rFonts w:asciiTheme="minorHAnsi" w:hAnsiTheme="minorHAnsi" w:cstheme="minorHAnsi"/>
                <w:i/>
                <w:noProof/>
                <w:szCs w:val="20"/>
              </w:rPr>
              <w:t>Bulletin of the World Health Organization</w:t>
            </w:r>
            <w:r w:rsidRPr="00143509">
              <w:rPr>
                <w:rFonts w:asciiTheme="minorHAnsi" w:hAnsiTheme="minorHAnsi" w:cstheme="minorHAnsi"/>
                <w:noProof/>
                <w:szCs w:val="20"/>
              </w:rPr>
              <w:t xml:space="preserve"> 2011; </w:t>
            </w:r>
            <w:r w:rsidRPr="00143509">
              <w:rPr>
                <w:rFonts w:asciiTheme="minorHAnsi" w:hAnsiTheme="minorHAnsi" w:cstheme="minorHAnsi"/>
                <w:b/>
                <w:noProof/>
                <w:szCs w:val="20"/>
              </w:rPr>
              <w:t>89</w:t>
            </w:r>
            <w:r w:rsidRPr="00143509">
              <w:rPr>
                <w:rFonts w:asciiTheme="minorHAnsi" w:hAnsiTheme="minorHAnsi" w:cstheme="minorHAnsi"/>
                <w:noProof/>
                <w:szCs w:val="20"/>
              </w:rPr>
              <w:t>(6): 432-41.</w:t>
            </w:r>
          </w:p>
        </w:tc>
      </w:tr>
      <w:tr w:rsidR="00022EA6" w:rsidRPr="009876EA" w:rsidTr="00FE4BAE">
        <w:trPr>
          <w:cantSplit/>
          <w:trHeight w:val="355"/>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Cuba</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2014</w:t>
            </w:r>
          </w:p>
        </w:tc>
        <w:tc>
          <w:tcPr>
            <w:tcW w:w="8090" w:type="dxa"/>
            <w:vAlign w:val="center"/>
          </w:tcPr>
          <w:p w:rsidR="00022EA6" w:rsidRPr="00143509" w:rsidRDefault="00022EA6" w:rsidP="00143509">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MICS survey report</w:t>
            </w:r>
            <w:r w:rsidR="00A324D9" w:rsidRPr="00143509">
              <w:rPr>
                <w:rFonts w:asciiTheme="minorHAnsi" w:eastAsia="Times New Roman" w:hAnsiTheme="minorHAnsi" w:cstheme="minorHAnsi"/>
                <w:color w:val="000000"/>
                <w:szCs w:val="20"/>
                <w:lang w:eastAsia="en-GB"/>
              </w:rPr>
              <w:t>.</w:t>
            </w:r>
            <w:r w:rsidRPr="00143509">
              <w:rPr>
                <w:rFonts w:asciiTheme="minorHAnsi" w:eastAsia="Times New Roman" w:hAnsiTheme="minorHAnsi" w:cstheme="minorHAnsi"/>
                <w:color w:val="000000"/>
                <w:szCs w:val="20"/>
                <w:lang w:eastAsia="en-GB"/>
              </w:rPr>
              <w:t xml:space="preserve"> </w:t>
            </w:r>
            <w:r w:rsidR="00A324D9" w:rsidRPr="00143509">
              <w:rPr>
                <w:rFonts w:asciiTheme="minorHAnsi" w:eastAsia="Times New Roman" w:hAnsiTheme="minorHAnsi" w:cstheme="minorHAnsi"/>
                <w:color w:val="000000"/>
                <w:szCs w:val="20"/>
                <w:lang w:eastAsia="en-GB"/>
              </w:rPr>
              <w:t>Available</w:t>
            </w:r>
            <w:r w:rsidRPr="00143509">
              <w:rPr>
                <w:rFonts w:asciiTheme="minorHAnsi" w:eastAsia="Times New Roman" w:hAnsiTheme="minorHAnsi" w:cstheme="minorHAnsi"/>
                <w:color w:val="000000"/>
                <w:szCs w:val="20"/>
                <w:lang w:eastAsia="en-GB"/>
              </w:rPr>
              <w:t xml:space="preserve"> at: </w:t>
            </w:r>
            <w:hyperlink r:id="rId9" w:history="1">
              <w:r w:rsidRPr="00143509">
                <w:rPr>
                  <w:rStyle w:val="Hyperlink"/>
                  <w:rFonts w:asciiTheme="minorHAnsi" w:eastAsia="Times New Roman" w:hAnsiTheme="minorHAnsi" w:cstheme="minorHAnsi"/>
                  <w:szCs w:val="20"/>
                  <w:lang w:eastAsia="en-GB"/>
                </w:rPr>
                <w:t>http://mics.unicef.org/surveys</w:t>
              </w:r>
            </w:hyperlink>
          </w:p>
        </w:tc>
      </w:tr>
      <w:tr w:rsidR="00022EA6" w:rsidRPr="009876EA" w:rsidTr="00FE4BAE">
        <w:trPr>
          <w:cantSplit/>
          <w:trHeight w:val="53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Ecuador</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2004</w:t>
            </w:r>
          </w:p>
        </w:tc>
        <w:tc>
          <w:tcPr>
            <w:tcW w:w="8090" w:type="dxa"/>
            <w:vAlign w:val="center"/>
          </w:tcPr>
          <w:p w:rsidR="00022EA6" w:rsidRPr="00143509" w:rsidRDefault="00022EA6" w:rsidP="00143509">
            <w:pPr>
              <w:spacing w:after="0" w:line="240" w:lineRule="auto"/>
              <w:rPr>
                <w:rFonts w:asciiTheme="minorHAnsi" w:hAnsiTheme="minorHAnsi" w:cstheme="minorHAnsi"/>
                <w:b/>
                <w:szCs w:val="20"/>
              </w:rPr>
            </w:pPr>
            <w:proofErr w:type="spellStart"/>
            <w:r w:rsidRPr="00143509">
              <w:rPr>
                <w:rFonts w:asciiTheme="minorHAnsi" w:hAnsiTheme="minorHAnsi" w:cstheme="minorHAnsi"/>
                <w:szCs w:val="20"/>
              </w:rPr>
              <w:t>Encuesta</w:t>
            </w:r>
            <w:proofErr w:type="spellEnd"/>
            <w:r w:rsidRPr="00143509">
              <w:rPr>
                <w:rFonts w:asciiTheme="minorHAnsi" w:hAnsiTheme="minorHAnsi" w:cstheme="minorHAnsi"/>
                <w:szCs w:val="20"/>
              </w:rPr>
              <w:t xml:space="preserve"> </w:t>
            </w:r>
            <w:proofErr w:type="spellStart"/>
            <w:r w:rsidRPr="00143509">
              <w:rPr>
                <w:rFonts w:asciiTheme="minorHAnsi" w:hAnsiTheme="minorHAnsi" w:cstheme="minorHAnsi"/>
                <w:szCs w:val="20"/>
              </w:rPr>
              <w:t>Demográfica</w:t>
            </w:r>
            <w:proofErr w:type="spellEnd"/>
            <w:r w:rsidRPr="00143509">
              <w:rPr>
                <w:rFonts w:asciiTheme="minorHAnsi" w:hAnsiTheme="minorHAnsi" w:cstheme="minorHAnsi"/>
                <w:szCs w:val="20"/>
              </w:rPr>
              <w:t xml:space="preserve"> y de </w:t>
            </w:r>
            <w:proofErr w:type="spellStart"/>
            <w:r w:rsidRPr="00143509">
              <w:rPr>
                <w:rFonts w:asciiTheme="minorHAnsi" w:hAnsiTheme="minorHAnsi" w:cstheme="minorHAnsi"/>
                <w:szCs w:val="20"/>
              </w:rPr>
              <w:t>Salud</w:t>
            </w:r>
            <w:proofErr w:type="spellEnd"/>
            <w:r w:rsidRPr="00143509">
              <w:rPr>
                <w:rFonts w:asciiTheme="minorHAnsi" w:hAnsiTheme="minorHAnsi" w:cstheme="minorHAnsi"/>
                <w:szCs w:val="20"/>
              </w:rPr>
              <w:t xml:space="preserve"> </w:t>
            </w:r>
            <w:proofErr w:type="spellStart"/>
            <w:r w:rsidRPr="00143509">
              <w:rPr>
                <w:rFonts w:asciiTheme="minorHAnsi" w:hAnsiTheme="minorHAnsi" w:cstheme="minorHAnsi"/>
                <w:szCs w:val="20"/>
              </w:rPr>
              <w:t>Materna</w:t>
            </w:r>
            <w:proofErr w:type="spellEnd"/>
            <w:r w:rsidRPr="00143509">
              <w:rPr>
                <w:rFonts w:asciiTheme="minorHAnsi" w:hAnsiTheme="minorHAnsi" w:cstheme="minorHAnsi"/>
                <w:szCs w:val="20"/>
              </w:rPr>
              <w:t xml:space="preserve"> e </w:t>
            </w:r>
            <w:proofErr w:type="spellStart"/>
            <w:r w:rsidRPr="00143509">
              <w:rPr>
                <w:rFonts w:asciiTheme="minorHAnsi" w:hAnsiTheme="minorHAnsi" w:cstheme="minorHAnsi"/>
                <w:szCs w:val="20"/>
              </w:rPr>
              <w:t>Infantil</w:t>
            </w:r>
            <w:proofErr w:type="spellEnd"/>
            <w:r w:rsidRPr="00143509">
              <w:rPr>
                <w:rFonts w:asciiTheme="minorHAnsi" w:hAnsiTheme="minorHAnsi" w:cstheme="minorHAnsi"/>
                <w:szCs w:val="20"/>
              </w:rPr>
              <w:t xml:space="preserve"> 2004. Available at: </w:t>
            </w:r>
            <w:hyperlink r:id="rId10" w:history="1">
              <w:r w:rsidRPr="00143509">
                <w:rPr>
                  <w:rStyle w:val="Hyperlink"/>
                  <w:rFonts w:asciiTheme="minorHAnsi" w:hAnsiTheme="minorHAnsi" w:cstheme="minorHAnsi"/>
                  <w:szCs w:val="20"/>
                </w:rPr>
                <w:t>http://microdata.worldbank.org/index.php/catalog/979</w:t>
              </w:r>
            </w:hyperlink>
            <w:r w:rsidRPr="00143509">
              <w:rPr>
                <w:rFonts w:asciiTheme="minorHAnsi" w:hAnsiTheme="minorHAnsi" w:cstheme="minorHAnsi"/>
                <w:szCs w:val="20"/>
              </w:rPr>
              <w:t xml:space="preserve"> </w:t>
            </w:r>
          </w:p>
        </w:tc>
      </w:tr>
      <w:tr w:rsidR="00022EA6" w:rsidRPr="009876EA" w:rsidTr="00FE4BAE">
        <w:trPr>
          <w:cantSplit/>
          <w:trHeight w:val="524"/>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England </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2015</w:t>
            </w:r>
          </w:p>
        </w:tc>
        <w:tc>
          <w:tcPr>
            <w:tcW w:w="8090" w:type="dxa"/>
            <w:vAlign w:val="center"/>
          </w:tcPr>
          <w:p w:rsidR="00022EA6" w:rsidRPr="00143509" w:rsidRDefault="00022EA6" w:rsidP="00143509">
            <w:pPr>
              <w:spacing w:after="0" w:line="240" w:lineRule="auto"/>
              <w:rPr>
                <w:rFonts w:asciiTheme="minorHAnsi" w:eastAsia="Times New Roman" w:hAnsiTheme="minorHAnsi" w:cstheme="minorHAnsi"/>
                <w:color w:val="000000"/>
                <w:szCs w:val="20"/>
                <w:lang w:eastAsia="en-GB"/>
              </w:rPr>
            </w:pPr>
            <w:r w:rsidRPr="00143509">
              <w:rPr>
                <w:rFonts w:asciiTheme="minorHAnsi" w:hAnsiTheme="minorHAnsi" w:cstheme="minorHAnsi"/>
                <w:szCs w:val="20"/>
              </w:rPr>
              <w:t xml:space="preserve">NHS Maternity Statistics – England Health and Social Care Information Centre Available at: </w:t>
            </w:r>
            <w:r w:rsidRPr="00143509">
              <w:rPr>
                <w:rStyle w:val="Hyperlink"/>
                <w:rFonts w:asciiTheme="minorHAnsi" w:eastAsia="Times New Roman" w:hAnsiTheme="minorHAnsi" w:cstheme="minorHAnsi"/>
                <w:szCs w:val="20"/>
                <w:lang w:eastAsia="en-GB"/>
              </w:rPr>
              <w:t>http://www.hscic.gov.uk/catalogue/PUB16725</w:t>
            </w:r>
          </w:p>
        </w:tc>
      </w:tr>
      <w:tr w:rsidR="00022EA6" w:rsidRPr="009876EA" w:rsidTr="00FE4BAE">
        <w:trPr>
          <w:cantSplit/>
          <w:trHeight w:val="698"/>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France</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2010</w:t>
            </w:r>
          </w:p>
        </w:tc>
        <w:tc>
          <w:tcPr>
            <w:tcW w:w="8090" w:type="dxa"/>
            <w:vAlign w:val="center"/>
          </w:tcPr>
          <w:p w:rsidR="00022EA6" w:rsidRPr="00143509" w:rsidRDefault="00022EA6" w:rsidP="00143509">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International comparison of selected service lines in seven health systems. (2014) Available at: </w:t>
            </w:r>
            <w:hyperlink r:id="rId11" w:history="1">
              <w:r w:rsidRPr="00143509">
                <w:rPr>
                  <w:rStyle w:val="Hyperlink"/>
                  <w:rFonts w:asciiTheme="minorHAnsi" w:eastAsia="Times New Roman" w:hAnsiTheme="minorHAnsi" w:cstheme="minorHAnsi"/>
                  <w:szCs w:val="20"/>
                  <w:lang w:eastAsia="en-GB"/>
                </w:rPr>
                <w:t>https://www.gov.uk/government/uploads/system/uploads/attachment_data/file/382855/Annex_13_Maternity_services_in_France.pdf</w:t>
              </w:r>
            </w:hyperlink>
            <w:r w:rsidRPr="00143509">
              <w:rPr>
                <w:rFonts w:asciiTheme="minorHAnsi" w:eastAsia="Times New Roman" w:hAnsiTheme="minorHAnsi" w:cstheme="minorHAnsi"/>
                <w:color w:val="000000"/>
                <w:szCs w:val="20"/>
                <w:lang w:eastAsia="en-GB"/>
              </w:rPr>
              <w:t xml:space="preserve"> </w:t>
            </w:r>
          </w:p>
        </w:tc>
      </w:tr>
      <w:tr w:rsidR="00022EA6" w:rsidRPr="009876EA" w:rsidTr="00FE4BAE">
        <w:trPr>
          <w:cantSplit/>
          <w:trHeight w:val="1134"/>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Germany</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2014</w:t>
            </w:r>
          </w:p>
        </w:tc>
        <w:tc>
          <w:tcPr>
            <w:tcW w:w="8090" w:type="dxa"/>
            <w:vAlign w:val="center"/>
          </w:tcPr>
          <w:p w:rsidR="00022EA6" w:rsidRPr="00143509" w:rsidRDefault="00022EA6" w:rsidP="00143509">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Hospital births and total births. Available at: </w:t>
            </w:r>
            <w:hyperlink r:id="rId12" w:history="1">
              <w:r w:rsidRPr="00143509">
                <w:rPr>
                  <w:rStyle w:val="Hyperlink"/>
                  <w:rFonts w:asciiTheme="minorHAnsi" w:eastAsia="Times New Roman" w:hAnsiTheme="minorHAnsi" w:cstheme="minorHAnsi"/>
                  <w:szCs w:val="20"/>
                  <w:lang w:eastAsia="en-GB"/>
                </w:rPr>
                <w:t>https://www.destatis.de/EN/FactsFigures/SocietyState/Health/Hospitals/Tables/HospitalsDeliveriesYears.html</w:t>
              </w:r>
            </w:hyperlink>
            <w:r w:rsidRPr="00143509">
              <w:rPr>
                <w:rFonts w:asciiTheme="minorHAnsi" w:eastAsia="Times New Roman" w:hAnsiTheme="minorHAnsi" w:cstheme="minorHAnsi"/>
                <w:color w:val="000000"/>
                <w:szCs w:val="20"/>
                <w:lang w:eastAsia="en-GB"/>
              </w:rPr>
              <w:t xml:space="preserve"> and </w:t>
            </w:r>
            <w:hyperlink r:id="rId13" w:history="1">
              <w:r w:rsidRPr="00143509">
                <w:rPr>
                  <w:rStyle w:val="Hyperlink"/>
                  <w:rFonts w:asciiTheme="minorHAnsi" w:eastAsia="Times New Roman" w:hAnsiTheme="minorHAnsi" w:cstheme="minorHAnsi"/>
                  <w:szCs w:val="20"/>
                  <w:lang w:eastAsia="en-GB"/>
                </w:rPr>
                <w:t>https://www.destatis.de/EN/FactsFigures/SocietyState/Population/Births/Tables/BirthDeaths.html</w:t>
              </w:r>
            </w:hyperlink>
          </w:p>
        </w:tc>
      </w:tr>
      <w:tr w:rsidR="00022EA6" w:rsidRPr="009876EA" w:rsidTr="00FE4BAE">
        <w:trPr>
          <w:cantSplit/>
          <w:trHeight w:val="525"/>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Japan</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2005</w:t>
            </w:r>
          </w:p>
        </w:tc>
        <w:tc>
          <w:tcPr>
            <w:tcW w:w="8090" w:type="dxa"/>
            <w:vAlign w:val="center"/>
          </w:tcPr>
          <w:p w:rsidR="00022EA6" w:rsidRPr="00143509" w:rsidRDefault="00022EA6" w:rsidP="00143509">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Matsuoka E, </w:t>
            </w:r>
            <w:proofErr w:type="spellStart"/>
            <w:r w:rsidRPr="00143509">
              <w:rPr>
                <w:rFonts w:asciiTheme="minorHAnsi" w:eastAsia="Times New Roman" w:hAnsiTheme="minorHAnsi" w:cstheme="minorHAnsi"/>
                <w:color w:val="000000"/>
                <w:szCs w:val="20"/>
                <w:lang w:eastAsia="en-GB"/>
              </w:rPr>
              <w:t>Fumikoa</w:t>
            </w:r>
            <w:proofErr w:type="spellEnd"/>
            <w:r w:rsidRPr="00143509">
              <w:rPr>
                <w:rFonts w:asciiTheme="minorHAnsi" w:eastAsia="Times New Roman" w:hAnsiTheme="minorHAnsi" w:cstheme="minorHAnsi"/>
                <w:color w:val="000000"/>
                <w:szCs w:val="20"/>
                <w:lang w:eastAsia="en-GB"/>
              </w:rPr>
              <w:t xml:space="preserve"> H, </w:t>
            </w:r>
            <w:proofErr w:type="spellStart"/>
            <w:r w:rsidRPr="00143509">
              <w:rPr>
                <w:rFonts w:asciiTheme="minorHAnsi" w:eastAsia="Times New Roman" w:hAnsiTheme="minorHAnsi" w:cstheme="minorHAnsi"/>
                <w:color w:val="000000"/>
                <w:szCs w:val="20"/>
                <w:lang w:eastAsia="en-GB"/>
              </w:rPr>
              <w:t>eds</w:t>
            </w:r>
            <w:proofErr w:type="spellEnd"/>
            <w:r w:rsidRPr="00143509">
              <w:rPr>
                <w:rFonts w:asciiTheme="minorHAnsi" w:eastAsia="Times New Roman" w:hAnsiTheme="minorHAnsi" w:cstheme="minorHAnsi"/>
                <w:color w:val="000000"/>
                <w:szCs w:val="20"/>
                <w:lang w:eastAsia="en-GB"/>
              </w:rPr>
              <w:t>: Birth Models That Work, Chapter 8; Maternity Home in Japan. University of California Press; 2009:484.</w:t>
            </w:r>
          </w:p>
        </w:tc>
      </w:tr>
      <w:tr w:rsidR="00022EA6" w:rsidRPr="009876EA" w:rsidTr="00FE4BAE">
        <w:trPr>
          <w:cantSplit/>
          <w:trHeight w:val="353"/>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Malaysia</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2011</w:t>
            </w:r>
          </w:p>
        </w:tc>
        <w:tc>
          <w:tcPr>
            <w:tcW w:w="8090" w:type="dxa"/>
            <w:vAlign w:val="center"/>
          </w:tcPr>
          <w:p w:rsidR="00022EA6" w:rsidRPr="00143509" w:rsidRDefault="00143509" w:rsidP="00FE4BAE">
            <w:pPr>
              <w:spacing w:after="0" w:line="240" w:lineRule="auto"/>
              <w:rPr>
                <w:rFonts w:asciiTheme="minorHAnsi" w:eastAsia="Times New Roman" w:hAnsiTheme="minorHAnsi" w:cstheme="minorHAnsi"/>
                <w:color w:val="000000"/>
                <w:szCs w:val="20"/>
                <w:lang w:eastAsia="en-GB"/>
              </w:rPr>
            </w:pPr>
            <w:r>
              <w:rPr>
                <w:rFonts w:asciiTheme="minorHAnsi" w:eastAsia="Times New Roman" w:hAnsiTheme="minorHAnsi" w:cstheme="minorHAnsi"/>
                <w:color w:val="000000"/>
                <w:szCs w:val="20"/>
                <w:lang w:eastAsia="en-GB"/>
              </w:rPr>
              <w:t xml:space="preserve">UNICEF statistics. </w:t>
            </w:r>
            <w:r w:rsidR="00022EA6" w:rsidRPr="00143509">
              <w:rPr>
                <w:rFonts w:asciiTheme="minorHAnsi" w:eastAsia="Times New Roman" w:hAnsiTheme="minorHAnsi" w:cstheme="minorHAnsi"/>
                <w:color w:val="000000"/>
                <w:szCs w:val="20"/>
                <w:lang w:eastAsia="en-GB"/>
              </w:rPr>
              <w:t>Available at:</w:t>
            </w:r>
            <w:r w:rsidR="00022EA6" w:rsidRPr="00143509">
              <w:rPr>
                <w:rFonts w:asciiTheme="minorHAnsi" w:hAnsiTheme="minorHAnsi" w:cstheme="minorHAnsi"/>
                <w:szCs w:val="20"/>
              </w:rPr>
              <w:t xml:space="preserve"> </w:t>
            </w:r>
            <w:hyperlink r:id="rId14" w:history="1">
              <w:r w:rsidR="00022EA6" w:rsidRPr="00143509">
                <w:rPr>
                  <w:rStyle w:val="Hyperlink"/>
                  <w:rFonts w:asciiTheme="minorHAnsi" w:eastAsia="Times New Roman" w:hAnsiTheme="minorHAnsi" w:cstheme="minorHAnsi"/>
                  <w:szCs w:val="20"/>
                  <w:lang w:eastAsia="en-GB"/>
                </w:rPr>
                <w:t>http://www.unicef.</w:t>
              </w:r>
              <w:r w:rsidR="00022EA6" w:rsidRPr="00143509">
                <w:rPr>
                  <w:rStyle w:val="Hyperlink"/>
                  <w:rFonts w:asciiTheme="minorHAnsi" w:eastAsia="Times New Roman" w:hAnsiTheme="minorHAnsi" w:cstheme="minorHAnsi"/>
                  <w:szCs w:val="20"/>
                  <w:lang w:eastAsia="en-GB"/>
                </w:rPr>
                <w:t>o</w:t>
              </w:r>
              <w:r w:rsidR="00022EA6" w:rsidRPr="00143509">
                <w:rPr>
                  <w:rStyle w:val="Hyperlink"/>
                  <w:rFonts w:asciiTheme="minorHAnsi" w:eastAsia="Times New Roman" w:hAnsiTheme="minorHAnsi" w:cstheme="minorHAnsi"/>
                  <w:szCs w:val="20"/>
                  <w:lang w:eastAsia="en-GB"/>
                </w:rPr>
                <w:t>rg/infobycountry/malaysia_statistics.html</w:t>
              </w:r>
            </w:hyperlink>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Mexico</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2011</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szCs w:val="20"/>
                <w:lang w:eastAsia="en-GB"/>
              </w:rPr>
              <w:t>Gutiérrez JP, Rivera-</w:t>
            </w:r>
            <w:proofErr w:type="spellStart"/>
            <w:r w:rsidRPr="00143509">
              <w:rPr>
                <w:rFonts w:asciiTheme="minorHAnsi" w:eastAsia="Times New Roman" w:hAnsiTheme="minorHAnsi" w:cstheme="minorHAnsi"/>
                <w:szCs w:val="20"/>
                <w:lang w:eastAsia="en-GB"/>
              </w:rPr>
              <w:t>Dommarco</w:t>
            </w:r>
            <w:proofErr w:type="spellEnd"/>
            <w:r w:rsidRPr="00143509">
              <w:rPr>
                <w:rFonts w:asciiTheme="minorHAnsi" w:eastAsia="Times New Roman" w:hAnsiTheme="minorHAnsi" w:cstheme="minorHAnsi"/>
                <w:szCs w:val="20"/>
                <w:lang w:eastAsia="en-GB"/>
              </w:rPr>
              <w:t xml:space="preserve"> J, </w:t>
            </w:r>
            <w:proofErr w:type="spellStart"/>
            <w:r w:rsidRPr="00143509">
              <w:rPr>
                <w:rFonts w:asciiTheme="minorHAnsi" w:eastAsia="Times New Roman" w:hAnsiTheme="minorHAnsi" w:cstheme="minorHAnsi"/>
                <w:szCs w:val="20"/>
                <w:lang w:eastAsia="en-GB"/>
              </w:rPr>
              <w:t>Shamah</w:t>
            </w:r>
            <w:proofErr w:type="spellEnd"/>
            <w:r w:rsidRPr="00143509">
              <w:rPr>
                <w:rFonts w:asciiTheme="minorHAnsi" w:eastAsia="Times New Roman" w:hAnsiTheme="minorHAnsi" w:cstheme="minorHAnsi"/>
                <w:szCs w:val="20"/>
                <w:lang w:eastAsia="en-GB"/>
              </w:rPr>
              <w:t xml:space="preserve">-Levy T, </w:t>
            </w:r>
            <w:proofErr w:type="spellStart"/>
            <w:r w:rsidRPr="00143509">
              <w:rPr>
                <w:rFonts w:asciiTheme="minorHAnsi" w:eastAsia="Times New Roman" w:hAnsiTheme="minorHAnsi" w:cstheme="minorHAnsi"/>
                <w:szCs w:val="20"/>
                <w:lang w:eastAsia="en-GB"/>
              </w:rPr>
              <w:t>Villalpando</w:t>
            </w:r>
            <w:proofErr w:type="spellEnd"/>
            <w:r w:rsidRPr="00143509">
              <w:rPr>
                <w:rFonts w:asciiTheme="minorHAnsi" w:eastAsia="Times New Roman" w:hAnsiTheme="minorHAnsi" w:cstheme="minorHAnsi"/>
                <w:szCs w:val="20"/>
                <w:lang w:eastAsia="en-GB"/>
              </w:rPr>
              <w:t>-Hernández S, Franco A, Cuevas-</w:t>
            </w:r>
            <w:proofErr w:type="spellStart"/>
            <w:r w:rsidRPr="00143509">
              <w:rPr>
                <w:rFonts w:asciiTheme="minorHAnsi" w:eastAsia="Times New Roman" w:hAnsiTheme="minorHAnsi" w:cstheme="minorHAnsi"/>
                <w:szCs w:val="20"/>
                <w:lang w:eastAsia="en-GB"/>
              </w:rPr>
              <w:t>Nasu</w:t>
            </w:r>
            <w:proofErr w:type="spellEnd"/>
            <w:r w:rsidRPr="00143509">
              <w:rPr>
                <w:rFonts w:asciiTheme="minorHAnsi" w:eastAsia="Times New Roman" w:hAnsiTheme="minorHAnsi" w:cstheme="minorHAnsi"/>
                <w:szCs w:val="20"/>
                <w:lang w:eastAsia="en-GB"/>
              </w:rPr>
              <w:t xml:space="preserve"> L, Romero-</w:t>
            </w:r>
            <w:proofErr w:type="spellStart"/>
            <w:r w:rsidRPr="00143509">
              <w:rPr>
                <w:rFonts w:asciiTheme="minorHAnsi" w:eastAsia="Times New Roman" w:hAnsiTheme="minorHAnsi" w:cstheme="minorHAnsi"/>
                <w:szCs w:val="20"/>
                <w:lang w:eastAsia="en-GB"/>
              </w:rPr>
              <w:t>Martínez</w:t>
            </w:r>
            <w:proofErr w:type="spellEnd"/>
            <w:r w:rsidRPr="00143509">
              <w:rPr>
                <w:rFonts w:asciiTheme="minorHAnsi" w:eastAsia="Times New Roman" w:hAnsiTheme="minorHAnsi" w:cstheme="minorHAnsi"/>
                <w:szCs w:val="20"/>
                <w:lang w:eastAsia="en-GB"/>
              </w:rPr>
              <w:t xml:space="preserve"> M, Hernández-Ávila M. </w:t>
            </w:r>
            <w:proofErr w:type="spellStart"/>
            <w:r w:rsidRPr="00143509">
              <w:rPr>
                <w:rFonts w:asciiTheme="minorHAnsi" w:eastAsia="Times New Roman" w:hAnsiTheme="minorHAnsi" w:cstheme="minorHAnsi"/>
                <w:szCs w:val="20"/>
                <w:lang w:eastAsia="en-GB"/>
              </w:rPr>
              <w:t>Encuesta</w:t>
            </w:r>
            <w:proofErr w:type="spellEnd"/>
            <w:r w:rsidRPr="00143509">
              <w:rPr>
                <w:rFonts w:asciiTheme="minorHAnsi" w:eastAsia="Times New Roman" w:hAnsiTheme="minorHAnsi" w:cstheme="minorHAnsi"/>
                <w:szCs w:val="20"/>
                <w:lang w:eastAsia="en-GB"/>
              </w:rPr>
              <w:t xml:space="preserve"> Nacional de </w:t>
            </w:r>
            <w:proofErr w:type="spellStart"/>
            <w:r w:rsidRPr="00143509">
              <w:rPr>
                <w:rFonts w:asciiTheme="minorHAnsi" w:eastAsia="Times New Roman" w:hAnsiTheme="minorHAnsi" w:cstheme="minorHAnsi"/>
                <w:szCs w:val="20"/>
                <w:lang w:eastAsia="en-GB"/>
              </w:rPr>
              <w:t>Salud</w:t>
            </w:r>
            <w:proofErr w:type="spellEnd"/>
            <w:r w:rsidRPr="00143509">
              <w:rPr>
                <w:rFonts w:asciiTheme="minorHAnsi" w:eastAsia="Times New Roman" w:hAnsiTheme="minorHAnsi" w:cstheme="minorHAnsi"/>
                <w:szCs w:val="20"/>
                <w:lang w:eastAsia="en-GB"/>
              </w:rPr>
              <w:t xml:space="preserve"> y </w:t>
            </w:r>
            <w:proofErr w:type="spellStart"/>
            <w:r w:rsidRPr="00143509">
              <w:rPr>
                <w:rFonts w:asciiTheme="minorHAnsi" w:eastAsia="Times New Roman" w:hAnsiTheme="minorHAnsi" w:cstheme="minorHAnsi"/>
                <w:szCs w:val="20"/>
                <w:lang w:eastAsia="en-GB"/>
              </w:rPr>
              <w:t>Nutrición</w:t>
            </w:r>
            <w:proofErr w:type="spellEnd"/>
            <w:r w:rsidRPr="00143509">
              <w:rPr>
                <w:rFonts w:asciiTheme="minorHAnsi" w:eastAsia="Times New Roman" w:hAnsiTheme="minorHAnsi" w:cstheme="minorHAnsi"/>
                <w:szCs w:val="20"/>
                <w:lang w:eastAsia="en-GB"/>
              </w:rPr>
              <w:t xml:space="preserve"> 2012. </w:t>
            </w:r>
            <w:proofErr w:type="spellStart"/>
            <w:r w:rsidRPr="00143509">
              <w:rPr>
                <w:rFonts w:asciiTheme="minorHAnsi" w:eastAsia="Times New Roman" w:hAnsiTheme="minorHAnsi" w:cstheme="minorHAnsi"/>
                <w:szCs w:val="20"/>
                <w:lang w:eastAsia="en-GB"/>
              </w:rPr>
              <w:t>Resultados</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Nacionales</w:t>
            </w:r>
            <w:proofErr w:type="spellEnd"/>
            <w:r w:rsidRPr="00143509">
              <w:rPr>
                <w:rFonts w:asciiTheme="minorHAnsi" w:eastAsia="Times New Roman" w:hAnsiTheme="minorHAnsi" w:cstheme="minorHAnsi"/>
                <w:szCs w:val="20"/>
                <w:lang w:eastAsia="en-GB"/>
              </w:rPr>
              <w:t xml:space="preserve">. Cuernavaca, México: </w:t>
            </w:r>
            <w:proofErr w:type="spellStart"/>
            <w:r w:rsidRPr="00143509">
              <w:rPr>
                <w:rFonts w:asciiTheme="minorHAnsi" w:eastAsia="Times New Roman" w:hAnsiTheme="minorHAnsi" w:cstheme="minorHAnsi"/>
                <w:szCs w:val="20"/>
                <w:lang w:eastAsia="en-GB"/>
              </w:rPr>
              <w:t>Instituto</w:t>
            </w:r>
            <w:proofErr w:type="spellEnd"/>
            <w:r w:rsidRPr="00143509">
              <w:rPr>
                <w:rFonts w:asciiTheme="minorHAnsi" w:eastAsia="Times New Roman" w:hAnsiTheme="minorHAnsi" w:cstheme="minorHAnsi"/>
                <w:szCs w:val="20"/>
                <w:lang w:eastAsia="en-GB"/>
              </w:rPr>
              <w:t xml:space="preserve"> Nacional de </w:t>
            </w:r>
            <w:proofErr w:type="spellStart"/>
            <w:r w:rsidRPr="00143509">
              <w:rPr>
                <w:rFonts w:asciiTheme="minorHAnsi" w:eastAsia="Times New Roman" w:hAnsiTheme="minorHAnsi" w:cstheme="minorHAnsi"/>
                <w:szCs w:val="20"/>
                <w:lang w:eastAsia="en-GB"/>
              </w:rPr>
              <w:t>Salud</w:t>
            </w:r>
            <w:proofErr w:type="spellEnd"/>
            <w:r w:rsidRPr="00143509">
              <w:rPr>
                <w:rFonts w:asciiTheme="minorHAnsi" w:eastAsia="Times New Roman" w:hAnsiTheme="minorHAnsi" w:cstheme="minorHAnsi"/>
                <w:szCs w:val="20"/>
                <w:lang w:eastAsia="en-GB"/>
              </w:rPr>
              <w:t xml:space="preserve"> </w:t>
            </w:r>
            <w:proofErr w:type="spellStart"/>
            <w:r w:rsidRPr="00143509">
              <w:rPr>
                <w:rFonts w:asciiTheme="minorHAnsi" w:eastAsia="Times New Roman" w:hAnsiTheme="minorHAnsi" w:cstheme="minorHAnsi"/>
                <w:szCs w:val="20"/>
                <w:lang w:eastAsia="en-GB"/>
              </w:rPr>
              <w:t>Pública</w:t>
            </w:r>
            <w:proofErr w:type="spellEnd"/>
            <w:r w:rsidRPr="00143509">
              <w:rPr>
                <w:rFonts w:asciiTheme="minorHAnsi" w:eastAsia="Times New Roman" w:hAnsiTheme="minorHAnsi" w:cstheme="minorHAnsi"/>
                <w:szCs w:val="20"/>
                <w:lang w:eastAsia="en-GB"/>
              </w:rPr>
              <w:t xml:space="preserve"> (MX), 2012</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Mongolia</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2010</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r w:rsidRPr="00143509">
              <w:rPr>
                <w:rStyle w:val="st"/>
                <w:rFonts w:asciiTheme="minorHAnsi" w:hAnsiTheme="minorHAnsi" w:cstheme="minorHAnsi"/>
                <w:szCs w:val="20"/>
              </w:rPr>
              <w:t xml:space="preserve">National Statistics Office The </w:t>
            </w:r>
            <w:r w:rsidRPr="00143509">
              <w:rPr>
                <w:rStyle w:val="Emphasis"/>
                <w:rFonts w:asciiTheme="minorHAnsi" w:hAnsiTheme="minorHAnsi" w:cstheme="minorHAnsi"/>
                <w:szCs w:val="20"/>
              </w:rPr>
              <w:t>Mongolia Multiple Indicator Cluster Survey</w:t>
            </w:r>
            <w:r w:rsidRPr="00143509">
              <w:rPr>
                <w:rStyle w:val="st"/>
                <w:rFonts w:asciiTheme="minorHAnsi" w:hAnsiTheme="minorHAnsi" w:cstheme="minorHAnsi"/>
                <w:szCs w:val="20"/>
              </w:rPr>
              <w:t xml:space="preserve"> 2010. </w:t>
            </w:r>
            <w:r w:rsidR="00F43CF0" w:rsidRPr="00143509">
              <w:rPr>
                <w:rStyle w:val="st"/>
                <w:rFonts w:asciiTheme="minorHAnsi" w:hAnsiTheme="minorHAnsi" w:cstheme="minorHAnsi"/>
                <w:szCs w:val="20"/>
              </w:rPr>
              <w:t>Available</w:t>
            </w:r>
            <w:r w:rsidRPr="00143509">
              <w:rPr>
                <w:rStyle w:val="st"/>
                <w:rFonts w:asciiTheme="minorHAnsi" w:hAnsiTheme="minorHAnsi" w:cstheme="minorHAnsi"/>
                <w:szCs w:val="20"/>
              </w:rPr>
              <w:t xml:space="preserve"> at </w:t>
            </w:r>
            <w:hyperlink r:id="rId15" w:history="1">
              <w:r w:rsidRPr="00143509">
                <w:rPr>
                  <w:rStyle w:val="Hyperlink"/>
                  <w:rFonts w:asciiTheme="minorHAnsi" w:hAnsiTheme="minorHAnsi" w:cstheme="minorHAnsi"/>
                  <w:szCs w:val="20"/>
                </w:rPr>
                <w:t>http://</w:t>
              </w:r>
              <w:r w:rsidRPr="00143509">
                <w:rPr>
                  <w:rStyle w:val="Hyperlink"/>
                  <w:rFonts w:asciiTheme="minorHAnsi" w:hAnsiTheme="minorHAnsi" w:cstheme="minorHAnsi"/>
                  <w:szCs w:val="20"/>
                </w:rPr>
                <w:t>m</w:t>
              </w:r>
              <w:r w:rsidRPr="00143509">
                <w:rPr>
                  <w:rStyle w:val="Hyperlink"/>
                  <w:rFonts w:asciiTheme="minorHAnsi" w:hAnsiTheme="minorHAnsi" w:cstheme="minorHAnsi"/>
                  <w:szCs w:val="20"/>
                </w:rPr>
                <w:t>ics.unicef.org/surveys</w:t>
              </w:r>
            </w:hyperlink>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Netherlands</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2013</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proofErr w:type="spellStart"/>
            <w:r w:rsidRPr="00143509">
              <w:rPr>
                <w:rStyle w:val="st"/>
                <w:rFonts w:asciiTheme="minorHAnsi" w:hAnsiTheme="minorHAnsi" w:cstheme="minorHAnsi"/>
                <w:szCs w:val="20"/>
              </w:rPr>
              <w:t>Perinatale</w:t>
            </w:r>
            <w:proofErr w:type="spellEnd"/>
            <w:r w:rsidRPr="00143509">
              <w:rPr>
                <w:rStyle w:val="st"/>
                <w:rFonts w:asciiTheme="minorHAnsi" w:hAnsiTheme="minorHAnsi" w:cstheme="minorHAnsi"/>
                <w:szCs w:val="20"/>
              </w:rPr>
              <w:t xml:space="preserve"> </w:t>
            </w:r>
            <w:proofErr w:type="spellStart"/>
            <w:r w:rsidRPr="00143509">
              <w:rPr>
                <w:rStyle w:val="st"/>
                <w:rFonts w:asciiTheme="minorHAnsi" w:hAnsiTheme="minorHAnsi" w:cstheme="minorHAnsi"/>
                <w:szCs w:val="20"/>
              </w:rPr>
              <w:t>Zorg</w:t>
            </w:r>
            <w:proofErr w:type="spellEnd"/>
            <w:r w:rsidRPr="00143509">
              <w:rPr>
                <w:rStyle w:val="st"/>
                <w:rFonts w:asciiTheme="minorHAnsi" w:hAnsiTheme="minorHAnsi" w:cstheme="minorHAnsi"/>
                <w:szCs w:val="20"/>
              </w:rPr>
              <w:t xml:space="preserve"> in Nederland </w:t>
            </w:r>
            <w:proofErr w:type="spellStart"/>
            <w:r w:rsidRPr="00143509">
              <w:rPr>
                <w:rStyle w:val="st"/>
                <w:rFonts w:asciiTheme="minorHAnsi" w:hAnsiTheme="minorHAnsi" w:cstheme="minorHAnsi"/>
                <w:szCs w:val="20"/>
              </w:rPr>
              <w:t>HAA</w:t>
            </w:r>
            <w:proofErr w:type="spellEnd"/>
            <w:r w:rsidRPr="00143509">
              <w:rPr>
                <w:rStyle w:val="st"/>
                <w:rFonts w:asciiTheme="minorHAnsi" w:hAnsiTheme="minorHAnsi" w:cstheme="minorHAnsi"/>
                <w:szCs w:val="20"/>
              </w:rPr>
              <w:t xml:space="preserve"> </w:t>
            </w:r>
            <w:proofErr w:type="spellStart"/>
            <w:r w:rsidRPr="00143509">
              <w:rPr>
                <w:rStyle w:val="st"/>
                <w:rFonts w:asciiTheme="minorHAnsi" w:hAnsiTheme="minorHAnsi" w:cstheme="minorHAnsi"/>
                <w:szCs w:val="20"/>
              </w:rPr>
              <w:t>Brouwers</w:t>
            </w:r>
            <w:proofErr w:type="spellEnd"/>
            <w:r w:rsidRPr="00143509">
              <w:rPr>
                <w:rStyle w:val="st"/>
                <w:rFonts w:asciiTheme="minorHAnsi" w:hAnsiTheme="minorHAnsi" w:cstheme="minorHAnsi"/>
                <w:szCs w:val="20"/>
              </w:rPr>
              <w:t xml:space="preserve">, </w:t>
            </w:r>
            <w:proofErr w:type="spellStart"/>
            <w:r w:rsidRPr="00143509">
              <w:rPr>
                <w:rStyle w:val="st"/>
                <w:rFonts w:asciiTheme="minorHAnsi" w:hAnsiTheme="minorHAnsi" w:cstheme="minorHAnsi"/>
                <w:szCs w:val="20"/>
              </w:rPr>
              <w:t>HW</w:t>
            </w:r>
            <w:proofErr w:type="spellEnd"/>
            <w:r w:rsidRPr="00143509">
              <w:rPr>
                <w:rStyle w:val="st"/>
                <w:rFonts w:asciiTheme="minorHAnsi" w:hAnsiTheme="minorHAnsi" w:cstheme="minorHAnsi"/>
                <w:szCs w:val="20"/>
              </w:rPr>
              <w:t xml:space="preserve"> </w:t>
            </w:r>
            <w:proofErr w:type="spellStart"/>
            <w:r w:rsidRPr="00143509">
              <w:rPr>
                <w:rStyle w:val="st"/>
                <w:rFonts w:asciiTheme="minorHAnsi" w:hAnsiTheme="minorHAnsi" w:cstheme="minorHAnsi"/>
                <w:szCs w:val="20"/>
              </w:rPr>
              <w:t>Bruinse</w:t>
            </w:r>
            <w:proofErr w:type="spellEnd"/>
            <w:r w:rsidRPr="00143509">
              <w:rPr>
                <w:rStyle w:val="st"/>
                <w:rFonts w:asciiTheme="minorHAnsi" w:hAnsiTheme="minorHAnsi" w:cstheme="minorHAnsi"/>
                <w:szCs w:val="20"/>
              </w:rPr>
              <w:t xml:space="preserve">, </w:t>
            </w:r>
            <w:proofErr w:type="gramStart"/>
            <w:r w:rsidRPr="00143509">
              <w:rPr>
                <w:rStyle w:val="st"/>
                <w:rFonts w:asciiTheme="minorHAnsi" w:hAnsiTheme="minorHAnsi" w:cstheme="minorHAnsi"/>
                <w:szCs w:val="20"/>
              </w:rPr>
              <w:t>J .</w:t>
            </w:r>
            <w:proofErr w:type="gramEnd"/>
            <w:r w:rsidRPr="00143509">
              <w:rPr>
                <w:rStyle w:val="st"/>
                <w:rFonts w:asciiTheme="minorHAnsi" w:hAnsiTheme="minorHAnsi" w:cstheme="minorHAnsi"/>
                <w:szCs w:val="20"/>
              </w:rPr>
              <w:t xml:space="preserve"> J. </w:t>
            </w:r>
            <w:proofErr w:type="spellStart"/>
            <w:r w:rsidRPr="00143509">
              <w:rPr>
                <w:rStyle w:val="st"/>
                <w:rFonts w:asciiTheme="minorHAnsi" w:hAnsiTheme="minorHAnsi" w:cstheme="minorHAnsi"/>
                <w:szCs w:val="20"/>
              </w:rPr>
              <w:t>Dijs-Elsinga</w:t>
            </w:r>
            <w:proofErr w:type="spellEnd"/>
            <w:r w:rsidRPr="00143509">
              <w:rPr>
                <w:rStyle w:val="st"/>
                <w:rFonts w:asciiTheme="minorHAnsi" w:hAnsiTheme="minorHAnsi" w:cstheme="minorHAnsi"/>
                <w:szCs w:val="20"/>
              </w:rPr>
              <w:t xml:space="preserve">, AM van Huis, E de Miranda, P </w:t>
            </w:r>
            <w:proofErr w:type="spellStart"/>
            <w:r w:rsidRPr="00143509">
              <w:rPr>
                <w:rStyle w:val="st"/>
                <w:rFonts w:asciiTheme="minorHAnsi" w:hAnsiTheme="minorHAnsi" w:cstheme="minorHAnsi"/>
                <w:szCs w:val="20"/>
              </w:rPr>
              <w:t>Tamminga</w:t>
            </w:r>
            <w:proofErr w:type="spellEnd"/>
            <w:r w:rsidRPr="00143509">
              <w:rPr>
                <w:rStyle w:val="st"/>
                <w:rFonts w:asciiTheme="minorHAnsi" w:hAnsiTheme="minorHAnsi" w:cstheme="minorHAnsi"/>
                <w:szCs w:val="20"/>
              </w:rPr>
              <w:t xml:space="preserve"> </w:t>
            </w:r>
            <w:r w:rsidRPr="00143509">
              <w:rPr>
                <w:rFonts w:asciiTheme="minorHAnsi" w:eastAsia="Times New Roman" w:hAnsiTheme="minorHAnsi" w:cstheme="minorHAnsi"/>
                <w:color w:val="000000"/>
                <w:szCs w:val="20"/>
                <w:lang w:eastAsia="en-GB"/>
              </w:rPr>
              <w:t xml:space="preserve">Available at </w:t>
            </w:r>
            <w:hyperlink r:id="rId16" w:history="1">
              <w:r w:rsidRPr="00143509">
                <w:rPr>
                  <w:rStyle w:val="Hyperlink"/>
                  <w:rFonts w:asciiTheme="minorHAnsi" w:eastAsia="Times New Roman" w:hAnsiTheme="minorHAnsi" w:cstheme="minorHAnsi"/>
                  <w:szCs w:val="20"/>
                  <w:lang w:eastAsia="en-GB"/>
                </w:rPr>
                <w:t>http://www.perinatreg.nl/</w:t>
              </w:r>
            </w:hyperlink>
            <w:r w:rsidRPr="00143509">
              <w:rPr>
                <w:rFonts w:asciiTheme="minorHAnsi" w:eastAsia="Times New Roman" w:hAnsiTheme="minorHAnsi" w:cstheme="minorHAnsi"/>
                <w:color w:val="000000"/>
                <w:szCs w:val="20"/>
                <w:lang w:eastAsia="en-GB"/>
              </w:rPr>
              <w:t xml:space="preserve"> and </w:t>
            </w:r>
            <w:hyperlink r:id="rId17" w:history="1">
              <w:r w:rsidRPr="00143509">
                <w:rPr>
                  <w:rStyle w:val="Hyperlink"/>
                  <w:rFonts w:asciiTheme="minorHAnsi" w:eastAsia="Times New Roman" w:hAnsiTheme="minorHAnsi" w:cstheme="minorHAnsi"/>
                  <w:szCs w:val="20"/>
                  <w:lang w:eastAsia="en-GB"/>
                </w:rPr>
                <w:t>http://www.sciencedirect.com/science/article/pii/S0266613813002106</w:t>
              </w:r>
            </w:hyperlink>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New Zealand</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2014</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Report on maternity, 2014, http://www.health.govt.nz/publication/report-maternity-2014 </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Norway</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2010</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r w:rsidRPr="00143509">
              <w:rPr>
                <w:rFonts w:asciiTheme="minorHAnsi" w:hAnsiTheme="minorHAnsi" w:cstheme="minorHAnsi"/>
                <w:szCs w:val="20"/>
              </w:rPr>
              <w:t>Euro-</w:t>
            </w:r>
            <w:proofErr w:type="spellStart"/>
            <w:r w:rsidRPr="00143509">
              <w:rPr>
                <w:rFonts w:asciiTheme="minorHAnsi" w:hAnsiTheme="minorHAnsi" w:cstheme="minorHAnsi"/>
                <w:szCs w:val="20"/>
              </w:rPr>
              <w:t>Peristat</w:t>
            </w:r>
            <w:proofErr w:type="spellEnd"/>
            <w:r w:rsidRPr="00143509">
              <w:rPr>
                <w:rFonts w:asciiTheme="minorHAnsi" w:hAnsiTheme="minorHAnsi" w:cstheme="minorHAnsi"/>
                <w:szCs w:val="20"/>
              </w:rPr>
              <w:t xml:space="preserve"> project with </w:t>
            </w:r>
            <w:proofErr w:type="spellStart"/>
            <w:r w:rsidRPr="00143509">
              <w:rPr>
                <w:rFonts w:asciiTheme="minorHAnsi" w:hAnsiTheme="minorHAnsi" w:cstheme="minorHAnsi"/>
                <w:szCs w:val="20"/>
              </w:rPr>
              <w:t>SCPE</w:t>
            </w:r>
            <w:proofErr w:type="spellEnd"/>
            <w:r w:rsidRPr="00143509">
              <w:rPr>
                <w:rFonts w:asciiTheme="minorHAnsi" w:hAnsiTheme="minorHAnsi" w:cstheme="minorHAnsi"/>
                <w:szCs w:val="20"/>
              </w:rPr>
              <w:t xml:space="preserve"> and </w:t>
            </w:r>
            <w:proofErr w:type="spellStart"/>
            <w:r w:rsidRPr="00143509">
              <w:rPr>
                <w:rFonts w:asciiTheme="minorHAnsi" w:hAnsiTheme="minorHAnsi" w:cstheme="minorHAnsi"/>
                <w:szCs w:val="20"/>
              </w:rPr>
              <w:t>Eurocat</w:t>
            </w:r>
            <w:proofErr w:type="spellEnd"/>
            <w:r w:rsidRPr="00143509">
              <w:rPr>
                <w:rFonts w:asciiTheme="minorHAnsi" w:hAnsiTheme="minorHAnsi" w:cstheme="minorHAnsi"/>
                <w:szCs w:val="20"/>
              </w:rPr>
              <w:t xml:space="preserve">. </w:t>
            </w:r>
            <w:r w:rsidRPr="00143509">
              <w:rPr>
                <w:rStyle w:val="Emphasis"/>
                <w:rFonts w:asciiTheme="minorHAnsi" w:hAnsiTheme="minorHAnsi" w:cstheme="minorHAnsi"/>
                <w:szCs w:val="20"/>
              </w:rPr>
              <w:t>European Perinatal Health Report. The health and care of pregnant women and babies in Europe in 2010.</w:t>
            </w:r>
            <w:r w:rsidRPr="00143509">
              <w:rPr>
                <w:rFonts w:asciiTheme="minorHAnsi" w:hAnsiTheme="minorHAnsi" w:cstheme="minorHAnsi"/>
                <w:szCs w:val="20"/>
              </w:rPr>
              <w:t xml:space="preserve"> May 2013.</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Russia</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2011 (2008)</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Data on SBA from European Health for All Database available at </w:t>
            </w:r>
            <w:hyperlink r:id="rId18" w:history="1">
              <w:r w:rsidRPr="00143509">
                <w:rPr>
                  <w:rStyle w:val="Hyperlink"/>
                  <w:rFonts w:asciiTheme="minorHAnsi" w:eastAsia="Times New Roman" w:hAnsiTheme="minorHAnsi" w:cstheme="minorHAnsi"/>
                  <w:szCs w:val="20"/>
                  <w:lang w:eastAsia="en-GB"/>
                </w:rPr>
                <w:t>http://data.euro.who.int/hfadb/</w:t>
              </w:r>
            </w:hyperlink>
          </w:p>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Data on health facility delivery: </w:t>
            </w:r>
            <w:hyperlink r:id="rId19" w:history="1">
              <w:r w:rsidRPr="00143509">
                <w:rPr>
                  <w:rStyle w:val="Hyperlink"/>
                  <w:rFonts w:asciiTheme="minorHAnsi" w:eastAsia="Times New Roman" w:hAnsiTheme="minorHAnsi" w:cstheme="minorHAnsi"/>
                  <w:szCs w:val="20"/>
                  <w:lang w:eastAsia="en-GB"/>
                </w:rPr>
                <w:t>http://www.cdc.gov/reproductivehealth/global/publications/surveys/russia/russia-survey-2011-exec-sum.pdf</w:t>
              </w:r>
            </w:hyperlink>
            <w:r w:rsidRPr="00143509">
              <w:rPr>
                <w:rFonts w:asciiTheme="minorHAnsi" w:eastAsia="Times New Roman" w:hAnsiTheme="minorHAnsi" w:cstheme="minorHAnsi"/>
                <w:color w:val="000000"/>
                <w:szCs w:val="20"/>
                <w:lang w:eastAsia="en-GB"/>
              </w:rPr>
              <w:t xml:space="preserve"> </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South Africa</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2008</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 xml:space="preserve">Health </w:t>
            </w:r>
            <w:r w:rsidR="00F43CF0" w:rsidRPr="00143509">
              <w:rPr>
                <w:rFonts w:asciiTheme="minorHAnsi" w:eastAsia="Times New Roman" w:hAnsiTheme="minorHAnsi" w:cstheme="minorHAnsi"/>
                <w:color w:val="000000"/>
                <w:szCs w:val="20"/>
                <w:lang w:eastAsia="en-GB"/>
              </w:rPr>
              <w:t>indicators</w:t>
            </w:r>
            <w:r w:rsidRPr="00143509">
              <w:rPr>
                <w:rFonts w:asciiTheme="minorHAnsi" w:eastAsia="Times New Roman" w:hAnsiTheme="minorHAnsi" w:cstheme="minorHAnsi"/>
                <w:color w:val="000000"/>
                <w:szCs w:val="20"/>
                <w:lang w:eastAsia="en-GB"/>
              </w:rPr>
              <w:t xml:space="preserve"> resource. Available at: </w:t>
            </w:r>
            <w:hyperlink r:id="rId20" w:history="1">
              <w:r w:rsidRPr="00143509">
                <w:rPr>
                  <w:rStyle w:val="Hyperlink"/>
                  <w:rFonts w:asciiTheme="minorHAnsi" w:eastAsia="Times New Roman" w:hAnsiTheme="minorHAnsi" w:cstheme="minorHAnsi"/>
                  <w:szCs w:val="20"/>
                  <w:lang w:eastAsia="en-GB"/>
                </w:rPr>
                <w:t>http://www.hst.org.za/health-indicators-advanced-search</w:t>
              </w:r>
            </w:hyperlink>
            <w:r w:rsidRPr="00143509">
              <w:rPr>
                <w:rFonts w:asciiTheme="minorHAnsi" w:eastAsia="Times New Roman" w:hAnsiTheme="minorHAnsi" w:cstheme="minorHAnsi"/>
                <w:color w:val="000000"/>
                <w:szCs w:val="20"/>
                <w:lang w:eastAsia="en-GB"/>
              </w:rPr>
              <w:t xml:space="preserve"> </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Sri Lanka</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2007</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szCs w:val="20"/>
                <w:lang w:eastAsia="en-GB"/>
              </w:rPr>
            </w:pPr>
            <w:r w:rsidRPr="00143509">
              <w:rPr>
                <w:rFonts w:asciiTheme="minorHAnsi" w:eastAsia="Times New Roman" w:hAnsiTheme="minorHAnsi" w:cstheme="minorHAnsi"/>
                <w:szCs w:val="20"/>
                <w:lang w:eastAsia="en-GB"/>
              </w:rPr>
              <w:t>Department of Census and Statistics (</w:t>
            </w:r>
            <w:proofErr w:type="gramStart"/>
            <w:r w:rsidRPr="00143509">
              <w:rPr>
                <w:rFonts w:asciiTheme="minorHAnsi" w:eastAsia="Times New Roman" w:hAnsiTheme="minorHAnsi" w:cstheme="minorHAnsi"/>
                <w:szCs w:val="20"/>
                <w:lang w:eastAsia="en-GB"/>
              </w:rPr>
              <w:t>DCS) and Ministry of Healthcare</w:t>
            </w:r>
            <w:proofErr w:type="gramEnd"/>
            <w:r w:rsidRPr="00143509">
              <w:rPr>
                <w:rFonts w:asciiTheme="minorHAnsi" w:eastAsia="Times New Roman" w:hAnsiTheme="minorHAnsi" w:cstheme="minorHAnsi"/>
                <w:szCs w:val="20"/>
                <w:lang w:eastAsia="en-GB"/>
              </w:rPr>
              <w:t xml:space="preserve"> and Nutrition (MOH). 2009. Sri Lanka Demographic and Health Survey 2006-07. Colombo, Sri Lanka: DCS and MOH. </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Sweden</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2010</w:t>
            </w:r>
          </w:p>
        </w:tc>
        <w:tc>
          <w:tcPr>
            <w:tcW w:w="8090" w:type="dxa"/>
            <w:vAlign w:val="center"/>
          </w:tcPr>
          <w:p w:rsidR="00022EA6" w:rsidRPr="00143509" w:rsidRDefault="00022EA6" w:rsidP="00FE4BAE">
            <w:pPr>
              <w:spacing w:after="0" w:line="240" w:lineRule="auto"/>
              <w:rPr>
                <w:rFonts w:asciiTheme="minorHAnsi" w:eastAsia="Times New Roman" w:hAnsiTheme="minorHAnsi" w:cstheme="minorHAnsi"/>
                <w:color w:val="000000"/>
                <w:szCs w:val="20"/>
                <w:lang w:eastAsia="en-GB"/>
              </w:rPr>
            </w:pPr>
            <w:r w:rsidRPr="00143509">
              <w:rPr>
                <w:rFonts w:asciiTheme="minorHAnsi" w:hAnsiTheme="minorHAnsi" w:cstheme="minorHAnsi"/>
                <w:szCs w:val="20"/>
              </w:rPr>
              <w:t>Euro-</w:t>
            </w:r>
            <w:proofErr w:type="spellStart"/>
            <w:r w:rsidRPr="00143509">
              <w:rPr>
                <w:rFonts w:asciiTheme="minorHAnsi" w:hAnsiTheme="minorHAnsi" w:cstheme="minorHAnsi"/>
                <w:szCs w:val="20"/>
              </w:rPr>
              <w:t>Peristat</w:t>
            </w:r>
            <w:proofErr w:type="spellEnd"/>
            <w:r w:rsidRPr="00143509">
              <w:rPr>
                <w:rFonts w:asciiTheme="minorHAnsi" w:hAnsiTheme="minorHAnsi" w:cstheme="minorHAnsi"/>
                <w:szCs w:val="20"/>
              </w:rPr>
              <w:t xml:space="preserve"> project with </w:t>
            </w:r>
            <w:proofErr w:type="spellStart"/>
            <w:r w:rsidRPr="00143509">
              <w:rPr>
                <w:rFonts w:asciiTheme="minorHAnsi" w:hAnsiTheme="minorHAnsi" w:cstheme="minorHAnsi"/>
                <w:szCs w:val="20"/>
              </w:rPr>
              <w:t>SCPE</w:t>
            </w:r>
            <w:proofErr w:type="spellEnd"/>
            <w:r w:rsidRPr="00143509">
              <w:rPr>
                <w:rFonts w:asciiTheme="minorHAnsi" w:hAnsiTheme="minorHAnsi" w:cstheme="minorHAnsi"/>
                <w:szCs w:val="20"/>
              </w:rPr>
              <w:t xml:space="preserve"> and </w:t>
            </w:r>
            <w:proofErr w:type="spellStart"/>
            <w:r w:rsidRPr="00143509">
              <w:rPr>
                <w:rFonts w:asciiTheme="minorHAnsi" w:hAnsiTheme="minorHAnsi" w:cstheme="minorHAnsi"/>
                <w:szCs w:val="20"/>
              </w:rPr>
              <w:t>Eurocat</w:t>
            </w:r>
            <w:proofErr w:type="spellEnd"/>
            <w:r w:rsidRPr="00143509">
              <w:rPr>
                <w:rFonts w:asciiTheme="minorHAnsi" w:hAnsiTheme="minorHAnsi" w:cstheme="minorHAnsi"/>
                <w:szCs w:val="20"/>
              </w:rPr>
              <w:t xml:space="preserve">. </w:t>
            </w:r>
            <w:r w:rsidRPr="00143509">
              <w:rPr>
                <w:rStyle w:val="Emphasis"/>
                <w:rFonts w:asciiTheme="minorHAnsi" w:hAnsiTheme="minorHAnsi" w:cstheme="minorHAnsi"/>
                <w:szCs w:val="20"/>
              </w:rPr>
              <w:t>European Perinatal Health Report. The health and care of pregnant women and babies in Europe in 2010.</w:t>
            </w:r>
            <w:r w:rsidRPr="00143509">
              <w:rPr>
                <w:rFonts w:asciiTheme="minorHAnsi" w:hAnsiTheme="minorHAnsi" w:cstheme="minorHAnsi"/>
                <w:szCs w:val="20"/>
              </w:rPr>
              <w:t xml:space="preserve"> May 2013.</w:t>
            </w:r>
          </w:p>
        </w:tc>
      </w:tr>
      <w:tr w:rsidR="00022EA6" w:rsidRPr="009876EA" w:rsidTr="00FE4BAE">
        <w:trPr>
          <w:trHeight w:val="300"/>
        </w:trPr>
        <w:tc>
          <w:tcPr>
            <w:tcW w:w="1440" w:type="dxa"/>
            <w:shd w:val="clear" w:color="auto" w:fill="auto"/>
            <w:noWrap/>
            <w:vAlign w:val="center"/>
            <w:hideMark/>
          </w:tcPr>
          <w:p w:rsidR="00022EA6" w:rsidRPr="00143509" w:rsidRDefault="00022EA6">
            <w:pPr>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United States</w:t>
            </w:r>
          </w:p>
        </w:tc>
        <w:tc>
          <w:tcPr>
            <w:tcW w:w="900" w:type="dxa"/>
            <w:shd w:val="clear" w:color="auto" w:fill="auto"/>
            <w:vAlign w:val="center"/>
          </w:tcPr>
          <w:p w:rsidR="00022EA6" w:rsidRPr="00143509" w:rsidRDefault="00022EA6" w:rsidP="00FE4BAE">
            <w:pPr>
              <w:spacing w:after="0" w:line="240" w:lineRule="auto"/>
              <w:jc w:val="center"/>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2013</w:t>
            </w:r>
          </w:p>
        </w:tc>
        <w:tc>
          <w:tcPr>
            <w:tcW w:w="8090" w:type="dxa"/>
            <w:vAlign w:val="center"/>
          </w:tcPr>
          <w:p w:rsidR="00022EA6" w:rsidRPr="00143509" w:rsidRDefault="00022EA6" w:rsidP="00FE4BAE">
            <w:pPr>
              <w:keepNext/>
              <w:spacing w:after="0" w:line="240" w:lineRule="auto"/>
              <w:rPr>
                <w:rFonts w:asciiTheme="minorHAnsi" w:eastAsia="Times New Roman" w:hAnsiTheme="minorHAnsi" w:cstheme="minorHAnsi"/>
                <w:color w:val="000000"/>
                <w:szCs w:val="20"/>
                <w:lang w:eastAsia="en-GB"/>
              </w:rPr>
            </w:pPr>
            <w:r w:rsidRPr="00143509">
              <w:rPr>
                <w:rFonts w:asciiTheme="minorHAnsi" w:eastAsia="Times New Roman" w:hAnsiTheme="minorHAnsi" w:cstheme="minorHAnsi"/>
                <w:color w:val="000000"/>
                <w:szCs w:val="20"/>
                <w:lang w:eastAsia="en-GB"/>
              </w:rPr>
              <w:t>CDC vital statistic</w:t>
            </w:r>
            <w:r w:rsidR="00F43CF0" w:rsidRPr="00143509">
              <w:rPr>
                <w:rFonts w:asciiTheme="minorHAnsi" w:eastAsia="Times New Roman" w:hAnsiTheme="minorHAnsi" w:cstheme="minorHAnsi"/>
                <w:color w:val="000000"/>
                <w:szCs w:val="20"/>
                <w:lang w:eastAsia="en-GB"/>
              </w:rPr>
              <w:t>s</w:t>
            </w:r>
            <w:r w:rsidRPr="00143509">
              <w:rPr>
                <w:rFonts w:asciiTheme="minorHAnsi" w:eastAsia="Times New Roman" w:hAnsiTheme="minorHAnsi" w:cstheme="minorHAnsi"/>
                <w:color w:val="000000"/>
                <w:szCs w:val="20"/>
                <w:lang w:eastAsia="en-GB"/>
              </w:rPr>
              <w:t xml:space="preserve"> data. Available at: </w:t>
            </w:r>
            <w:hyperlink r:id="rId21" w:history="1">
              <w:r w:rsidRPr="00143509">
                <w:rPr>
                  <w:rStyle w:val="Hyperlink"/>
                  <w:rFonts w:asciiTheme="minorHAnsi" w:eastAsia="Times New Roman" w:hAnsiTheme="minorHAnsi" w:cstheme="minorHAnsi"/>
                  <w:szCs w:val="20"/>
                  <w:lang w:eastAsia="en-GB"/>
                </w:rPr>
                <w:t>http://www.cdc.gov/nchs/data_access/VitalStatsOnline.htm</w:t>
              </w:r>
            </w:hyperlink>
            <w:r w:rsidRPr="00143509">
              <w:rPr>
                <w:rFonts w:asciiTheme="minorHAnsi" w:eastAsia="Times New Roman" w:hAnsiTheme="minorHAnsi" w:cstheme="minorHAnsi"/>
                <w:color w:val="000000"/>
                <w:szCs w:val="20"/>
                <w:lang w:eastAsia="en-GB"/>
              </w:rPr>
              <w:t xml:space="preserve"> </w:t>
            </w:r>
          </w:p>
        </w:tc>
      </w:tr>
    </w:tbl>
    <w:p w:rsidR="00022EA6" w:rsidRPr="009876EA" w:rsidRDefault="00022EA6">
      <w:pPr>
        <w:rPr>
          <w:rFonts w:asciiTheme="minorHAnsi" w:hAnsiTheme="minorHAnsi" w:cstheme="minorHAnsi"/>
          <w:szCs w:val="20"/>
        </w:rPr>
      </w:pPr>
    </w:p>
    <w:p w:rsidR="00022EA6" w:rsidRPr="00A0377E" w:rsidRDefault="00022EA6" w:rsidP="00FE4BAE">
      <w:pPr>
        <w:pStyle w:val="Heading2"/>
      </w:pPr>
      <w:bookmarkStart w:id="7" w:name="_Toc458091847"/>
      <w:r w:rsidRPr="00A0377E">
        <w:lastRenderedPageBreak/>
        <w:t>Countries meeting or exceeding the threshold of 23 midwives, nurses or doctors per 10,000 population</w:t>
      </w:r>
      <w:bookmarkEnd w:id="7"/>
      <w:r w:rsidRPr="00A0377E">
        <w:t xml:space="preserve"> </w:t>
      </w:r>
    </w:p>
    <w:p w:rsidR="00022EA6" w:rsidRPr="009876EA" w:rsidRDefault="00022EA6" w:rsidP="00FE4BAE">
      <w:pPr>
        <w:spacing w:after="0" w:line="240" w:lineRule="auto"/>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Data source</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World Health Organization Statistics.</w:t>
      </w:r>
    </w:p>
    <w:p w:rsidR="00022EA6" w:rsidRPr="009876EA" w:rsidRDefault="00022EA6" w:rsidP="00FE4BAE">
      <w:pPr>
        <w:spacing w:after="0" w:line="240" w:lineRule="auto"/>
        <w:jc w:val="both"/>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 xml:space="preserve">Data analysis </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We added doctors per 10,000 population and nurses/midwives per 10,000 population for the most recent year since 2000, for countries reporting both figures. We then looked at the proportions of countries above and below the threshold of 23 per 10,000.</w:t>
      </w:r>
    </w:p>
    <w:p w:rsidR="00022EA6" w:rsidRPr="009876EA" w:rsidRDefault="00022EA6">
      <w:pPr>
        <w:rPr>
          <w:rFonts w:asciiTheme="minorHAnsi" w:eastAsiaTheme="majorEastAsia" w:hAnsiTheme="minorHAnsi" w:cstheme="minorHAnsi"/>
          <w:b/>
          <w:szCs w:val="20"/>
        </w:rPr>
      </w:pPr>
      <w:r w:rsidRPr="009876EA">
        <w:rPr>
          <w:rFonts w:asciiTheme="minorHAnsi" w:hAnsiTheme="minorHAnsi" w:cstheme="minorHAnsi"/>
          <w:szCs w:val="20"/>
        </w:rPr>
        <w:br w:type="page"/>
      </w:r>
    </w:p>
    <w:p w:rsidR="00022EA6" w:rsidRPr="00A0377E" w:rsidRDefault="00022EA6" w:rsidP="00FE4BAE">
      <w:pPr>
        <w:pStyle w:val="Heading2"/>
      </w:pPr>
      <w:bookmarkStart w:id="8" w:name="_Toc458091848"/>
      <w:r w:rsidRPr="00A0377E">
        <w:lastRenderedPageBreak/>
        <w:t>Volume &amp; Capa</w:t>
      </w:r>
      <w:r w:rsidR="00143509">
        <w:t>bility of Facilities: Facility a</w:t>
      </w:r>
      <w:r w:rsidRPr="00A0377E">
        <w:t>ssessment Data</w:t>
      </w:r>
      <w:bookmarkEnd w:id="8"/>
      <w:r w:rsidRPr="00A0377E">
        <w:t xml:space="preserve"> </w:t>
      </w:r>
    </w:p>
    <w:p w:rsidR="00022EA6" w:rsidRPr="009876EA" w:rsidRDefault="00022EA6" w:rsidP="00FE4BAE">
      <w:pPr>
        <w:spacing w:after="0" w:line="240" w:lineRule="auto"/>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Data source</w:t>
      </w:r>
    </w:p>
    <w:p w:rsidR="00022EA6" w:rsidRPr="009876EA" w:rsidRDefault="00022EA6" w:rsidP="00FE4BAE">
      <w:pPr>
        <w:spacing w:after="0" w:line="240" w:lineRule="auto"/>
        <w:jc w:val="both"/>
        <w:rPr>
          <w:rFonts w:asciiTheme="minorHAnsi" w:hAnsiTheme="minorHAnsi" w:cstheme="minorHAnsi"/>
          <w:b/>
          <w:szCs w:val="20"/>
        </w:rPr>
      </w:pP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These analyses are based on data from the Service Provision Assessments (SPA), the Emergency Obstetric and Newborn Care (</w:t>
      </w:r>
      <w:proofErr w:type="spellStart"/>
      <w:r w:rsidRPr="009876EA">
        <w:rPr>
          <w:rFonts w:asciiTheme="minorHAnsi" w:hAnsiTheme="minorHAnsi" w:cstheme="minorHAnsi"/>
          <w:szCs w:val="20"/>
        </w:rPr>
        <w:t>EmONC</w:t>
      </w:r>
      <w:proofErr w:type="spellEnd"/>
      <w:r w:rsidRPr="009876EA">
        <w:rPr>
          <w:rFonts w:asciiTheme="minorHAnsi" w:hAnsiTheme="minorHAnsi" w:cstheme="minorHAnsi"/>
          <w:szCs w:val="20"/>
        </w:rPr>
        <w:t xml:space="preserve">) assessments, and the China health facility survey which are nationally representative surveys of facilities within a given country. Data from assessment that included numbers of deliveries are available for the following countries and time points: </w:t>
      </w:r>
    </w:p>
    <w:p w:rsidR="00022EA6" w:rsidRPr="009876EA" w:rsidRDefault="00022EA6" w:rsidP="00FE4BAE">
      <w:pPr>
        <w:spacing w:after="0" w:line="240" w:lineRule="auto"/>
        <w:jc w:val="both"/>
        <w:rPr>
          <w:rFonts w:asciiTheme="minorHAnsi" w:hAnsiTheme="minorHAnsi" w:cstheme="minorHAnsi"/>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022EA6" w:rsidRPr="009876EA" w:rsidTr="00FE4BAE">
        <w:tc>
          <w:tcPr>
            <w:tcW w:w="2547" w:type="dxa"/>
          </w:tcPr>
          <w:p w:rsidR="00022EA6" w:rsidRPr="009876EA" w:rsidRDefault="00022EA6" w:rsidP="00FE4BAE">
            <w:pPr>
              <w:jc w:val="both"/>
              <w:rPr>
                <w:rFonts w:asciiTheme="minorHAnsi" w:hAnsiTheme="minorHAnsi" w:cstheme="minorHAnsi"/>
                <w:b/>
                <w:szCs w:val="20"/>
              </w:rPr>
            </w:pPr>
            <w:proofErr w:type="spellStart"/>
            <w:r w:rsidRPr="009876EA">
              <w:rPr>
                <w:rFonts w:asciiTheme="minorHAnsi" w:hAnsiTheme="minorHAnsi" w:cstheme="minorHAnsi"/>
                <w:b/>
                <w:szCs w:val="20"/>
              </w:rPr>
              <w:t>EmONC</w:t>
            </w:r>
            <w:proofErr w:type="spellEnd"/>
            <w:r w:rsidRPr="009876EA">
              <w:rPr>
                <w:rFonts w:asciiTheme="minorHAnsi" w:hAnsiTheme="minorHAnsi" w:cstheme="minorHAnsi"/>
                <w:b/>
                <w:szCs w:val="20"/>
              </w:rPr>
              <w:t xml:space="preserve"> assessments -</w:t>
            </w:r>
          </w:p>
        </w:tc>
        <w:tc>
          <w:tcPr>
            <w:tcW w:w="6469" w:type="dxa"/>
          </w:tcPr>
          <w:p w:rsidR="00022EA6" w:rsidRPr="009876EA" w:rsidRDefault="00022EA6" w:rsidP="00FE4BAE">
            <w:pPr>
              <w:jc w:val="both"/>
              <w:rPr>
                <w:rFonts w:asciiTheme="minorHAnsi" w:hAnsiTheme="minorHAnsi" w:cstheme="minorHAnsi"/>
                <w:b/>
                <w:szCs w:val="20"/>
              </w:rPr>
            </w:pPr>
            <w:r w:rsidRPr="009876EA">
              <w:rPr>
                <w:rFonts w:asciiTheme="minorHAnsi" w:hAnsiTheme="minorHAnsi" w:cstheme="minorHAnsi"/>
                <w:b/>
                <w:szCs w:val="20"/>
              </w:rPr>
              <w:t>SPAs -</w:t>
            </w:r>
          </w:p>
        </w:tc>
      </w:tr>
      <w:tr w:rsidR="00022EA6" w:rsidRPr="009876EA" w:rsidTr="00FE4BAE">
        <w:tc>
          <w:tcPr>
            <w:tcW w:w="2547" w:type="dxa"/>
          </w:tcPr>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Ethiopia, 2008</w:t>
            </w:r>
          </w:p>
        </w:tc>
        <w:tc>
          <w:tcPr>
            <w:tcW w:w="6469" w:type="dxa"/>
          </w:tcPr>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Tanzania, 2006 (only used in looking at facility volume, not facility capability)</w:t>
            </w:r>
          </w:p>
        </w:tc>
      </w:tr>
      <w:tr w:rsidR="00022EA6" w:rsidRPr="009876EA" w:rsidTr="00FE4BAE">
        <w:tc>
          <w:tcPr>
            <w:tcW w:w="2547" w:type="dxa"/>
          </w:tcPr>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 xml:space="preserve">Ghana, 2010 </w:t>
            </w:r>
          </w:p>
        </w:tc>
        <w:tc>
          <w:tcPr>
            <w:tcW w:w="6469" w:type="dxa"/>
          </w:tcPr>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 xml:space="preserve">Uganda, 2007 </w:t>
            </w:r>
          </w:p>
        </w:tc>
      </w:tr>
      <w:tr w:rsidR="00022EA6" w:rsidRPr="009876EA" w:rsidTr="00FE4BAE">
        <w:tc>
          <w:tcPr>
            <w:tcW w:w="2547" w:type="dxa"/>
          </w:tcPr>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Mozambique, 2012</w:t>
            </w:r>
          </w:p>
        </w:tc>
        <w:tc>
          <w:tcPr>
            <w:tcW w:w="6469" w:type="dxa"/>
          </w:tcPr>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 xml:space="preserve">Rwanda, 2007 </w:t>
            </w:r>
          </w:p>
        </w:tc>
      </w:tr>
      <w:tr w:rsidR="00022EA6" w:rsidRPr="009876EA" w:rsidTr="00FE4BAE">
        <w:tc>
          <w:tcPr>
            <w:tcW w:w="2547" w:type="dxa"/>
          </w:tcPr>
          <w:p w:rsidR="00022EA6" w:rsidRPr="009876EA" w:rsidRDefault="00022EA6" w:rsidP="00FE4BAE">
            <w:pPr>
              <w:jc w:val="both"/>
              <w:rPr>
                <w:rFonts w:asciiTheme="minorHAnsi" w:hAnsiTheme="minorHAnsi" w:cstheme="minorHAnsi"/>
                <w:b/>
                <w:szCs w:val="20"/>
              </w:rPr>
            </w:pPr>
          </w:p>
        </w:tc>
        <w:tc>
          <w:tcPr>
            <w:tcW w:w="6469" w:type="dxa"/>
          </w:tcPr>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 xml:space="preserve">Namibia, 2009 </w:t>
            </w:r>
          </w:p>
        </w:tc>
      </w:tr>
      <w:tr w:rsidR="00022EA6" w:rsidRPr="009876EA" w:rsidTr="00FE4BAE">
        <w:trPr>
          <w:trHeight w:val="77"/>
        </w:trPr>
        <w:tc>
          <w:tcPr>
            <w:tcW w:w="2547" w:type="dxa"/>
          </w:tcPr>
          <w:p w:rsidR="00022EA6" w:rsidRPr="009876EA" w:rsidRDefault="00022EA6" w:rsidP="00FE4BAE">
            <w:pPr>
              <w:jc w:val="both"/>
              <w:rPr>
                <w:rFonts w:asciiTheme="minorHAnsi" w:hAnsiTheme="minorHAnsi" w:cstheme="minorHAnsi"/>
                <w:b/>
                <w:szCs w:val="20"/>
              </w:rPr>
            </w:pPr>
          </w:p>
        </w:tc>
        <w:tc>
          <w:tcPr>
            <w:tcW w:w="6469" w:type="dxa"/>
          </w:tcPr>
          <w:p w:rsidR="00022EA6" w:rsidRPr="009876EA" w:rsidRDefault="00022EA6" w:rsidP="00FE4BAE">
            <w:pPr>
              <w:jc w:val="both"/>
              <w:rPr>
                <w:rFonts w:asciiTheme="minorHAnsi" w:hAnsiTheme="minorHAnsi" w:cstheme="minorHAnsi"/>
                <w:szCs w:val="20"/>
              </w:rPr>
            </w:pPr>
            <w:r w:rsidRPr="009876EA">
              <w:rPr>
                <w:rFonts w:asciiTheme="minorHAnsi" w:hAnsiTheme="minorHAnsi" w:cstheme="minorHAnsi"/>
                <w:szCs w:val="20"/>
              </w:rPr>
              <w:t xml:space="preserve">Kenya, 2010 </w:t>
            </w:r>
          </w:p>
        </w:tc>
      </w:tr>
    </w:tbl>
    <w:p w:rsidR="00022EA6" w:rsidRPr="009876EA" w:rsidRDefault="00022EA6" w:rsidP="00FE4BAE">
      <w:pPr>
        <w:spacing w:after="0" w:line="240" w:lineRule="auto"/>
        <w:jc w:val="both"/>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The health facility survey in China was conducted in 2011.</w:t>
      </w:r>
    </w:p>
    <w:p w:rsidR="00022EA6" w:rsidRPr="009876EA" w:rsidRDefault="00022EA6" w:rsidP="00FE4BAE">
      <w:pPr>
        <w:spacing w:after="0" w:line="240" w:lineRule="auto"/>
        <w:jc w:val="both"/>
        <w:rPr>
          <w:rFonts w:asciiTheme="minorHAnsi" w:hAnsiTheme="minorHAnsi" w:cstheme="minorHAnsi"/>
          <w:b/>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Data preparation</w:t>
      </w:r>
    </w:p>
    <w:p w:rsidR="00022EA6" w:rsidRPr="009876EA" w:rsidRDefault="00022EA6" w:rsidP="00FE4BAE">
      <w:pPr>
        <w:spacing w:after="0" w:line="240" w:lineRule="auto"/>
        <w:jc w:val="both"/>
        <w:rPr>
          <w:rFonts w:asciiTheme="minorHAnsi" w:hAnsiTheme="minorHAnsi" w:cstheme="minorHAnsi"/>
          <w:b/>
          <w:szCs w:val="20"/>
        </w:rPr>
      </w:pP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Data were available across the majority of the facility assessments listed above to produce signal functions to look at emergency obstetric and routine </w:t>
      </w:r>
      <w:r>
        <w:rPr>
          <w:rFonts w:asciiTheme="minorHAnsi" w:hAnsiTheme="minorHAnsi" w:cstheme="minorHAnsi"/>
          <w:szCs w:val="20"/>
        </w:rPr>
        <w:t>childbirth</w:t>
      </w:r>
      <w:r w:rsidRPr="009876EA">
        <w:rPr>
          <w:rFonts w:asciiTheme="minorHAnsi" w:hAnsiTheme="minorHAnsi" w:cstheme="minorHAnsi"/>
          <w:szCs w:val="20"/>
        </w:rPr>
        <w:t xml:space="preserve"> care, and to look at general facility readiness; however, there was some variation in how the signal functions were defined as a result of data availability. </w:t>
      </w:r>
      <w:r w:rsidRPr="009876EA">
        <w:rPr>
          <w:rFonts w:asciiTheme="minorHAnsi" w:hAnsiTheme="minorHAnsi" w:cstheme="minorHAnsi"/>
          <w:szCs w:val="20"/>
        </w:rPr>
        <w:fldChar w:fldCharType="begin"/>
      </w:r>
      <w:r w:rsidRPr="009876EA">
        <w:rPr>
          <w:rFonts w:asciiTheme="minorHAnsi" w:hAnsiTheme="minorHAnsi" w:cstheme="minorHAnsi"/>
          <w:szCs w:val="20"/>
        </w:rPr>
        <w:instrText xml:space="preserve"> REF _Ref429658639 \h  \* MERGEFORMAT </w:instrText>
      </w:r>
      <w:r w:rsidRPr="009876EA">
        <w:rPr>
          <w:rFonts w:asciiTheme="minorHAnsi" w:hAnsiTheme="minorHAnsi" w:cstheme="minorHAnsi"/>
          <w:szCs w:val="20"/>
        </w:rPr>
      </w:r>
      <w:r w:rsidRPr="009876EA">
        <w:rPr>
          <w:rFonts w:asciiTheme="minorHAnsi" w:hAnsiTheme="minorHAnsi" w:cstheme="minorHAnsi"/>
          <w:szCs w:val="20"/>
        </w:rPr>
        <w:fldChar w:fldCharType="separate"/>
      </w:r>
      <w:r w:rsidRPr="009876EA">
        <w:rPr>
          <w:rFonts w:asciiTheme="minorHAnsi" w:hAnsiTheme="minorHAnsi" w:cstheme="minorHAnsi"/>
          <w:szCs w:val="20"/>
        </w:rPr>
        <w:t>Supplementary Table 2</w:t>
      </w:r>
      <w:r w:rsidRPr="009876EA">
        <w:rPr>
          <w:rFonts w:asciiTheme="minorHAnsi" w:hAnsiTheme="minorHAnsi" w:cstheme="minorHAnsi"/>
          <w:szCs w:val="20"/>
        </w:rPr>
        <w:fldChar w:fldCharType="end"/>
      </w:r>
      <w:r w:rsidRPr="009876EA">
        <w:rPr>
          <w:rFonts w:asciiTheme="minorHAnsi" w:hAnsiTheme="minorHAnsi" w:cstheme="minorHAnsi"/>
          <w:szCs w:val="20"/>
        </w:rPr>
        <w:t xml:space="preserve"> provides a description of the definition of each signal function by the data source.  </w:t>
      </w:r>
    </w:p>
    <w:p w:rsidR="00022EA6" w:rsidRPr="009876EA" w:rsidRDefault="00022EA6" w:rsidP="00FE4BAE">
      <w:pPr>
        <w:spacing w:after="0" w:line="240" w:lineRule="auto"/>
        <w:rPr>
          <w:rFonts w:asciiTheme="minorHAnsi" w:hAnsiTheme="minorHAnsi" w:cstheme="minorHAnsi"/>
          <w:szCs w:val="20"/>
        </w:rPr>
      </w:pPr>
      <w:r w:rsidRPr="009876EA">
        <w:rPr>
          <w:rFonts w:asciiTheme="minorHAnsi" w:hAnsiTheme="minorHAnsi" w:cstheme="minorHAnsi"/>
          <w:szCs w:val="20"/>
        </w:rPr>
        <w:t xml:space="preserve"> </w:t>
      </w:r>
    </w:p>
    <w:p w:rsidR="00022EA6" w:rsidRPr="009876EA" w:rsidRDefault="00022EA6" w:rsidP="00FE4BAE">
      <w:pPr>
        <w:pStyle w:val="Caption"/>
        <w:keepNext/>
        <w:rPr>
          <w:rFonts w:cstheme="minorHAnsi"/>
          <w:sz w:val="20"/>
          <w:szCs w:val="20"/>
        </w:rPr>
      </w:pPr>
      <w:bookmarkStart w:id="9" w:name="_Ref429658639"/>
      <w:r w:rsidRPr="009876EA">
        <w:rPr>
          <w:rFonts w:cstheme="minorHAnsi"/>
          <w:sz w:val="20"/>
          <w:szCs w:val="20"/>
        </w:rPr>
        <w:t xml:space="preserve">Supplementary Table </w:t>
      </w:r>
      <w:r w:rsidRPr="009876EA">
        <w:rPr>
          <w:rFonts w:cstheme="minorHAnsi"/>
          <w:sz w:val="20"/>
          <w:szCs w:val="20"/>
        </w:rPr>
        <w:fldChar w:fldCharType="begin"/>
      </w:r>
      <w:r w:rsidRPr="009876EA">
        <w:rPr>
          <w:rFonts w:cstheme="minorHAnsi"/>
          <w:sz w:val="20"/>
          <w:szCs w:val="20"/>
        </w:rPr>
        <w:instrText xml:space="preserve"> SEQ Supplementary_Table \* ARABIC </w:instrText>
      </w:r>
      <w:r w:rsidRPr="009876EA">
        <w:rPr>
          <w:rFonts w:cstheme="minorHAnsi"/>
          <w:sz w:val="20"/>
          <w:szCs w:val="20"/>
        </w:rPr>
        <w:fldChar w:fldCharType="separate"/>
      </w:r>
      <w:r w:rsidRPr="009876EA">
        <w:rPr>
          <w:rFonts w:cstheme="minorHAnsi"/>
          <w:noProof/>
          <w:sz w:val="20"/>
          <w:szCs w:val="20"/>
        </w:rPr>
        <w:t>2</w:t>
      </w:r>
      <w:r w:rsidRPr="009876EA">
        <w:rPr>
          <w:rFonts w:cstheme="minorHAnsi"/>
          <w:sz w:val="20"/>
          <w:szCs w:val="20"/>
        </w:rPr>
        <w:fldChar w:fldCharType="end"/>
      </w:r>
      <w:bookmarkEnd w:id="9"/>
      <w:r w:rsidRPr="009876EA">
        <w:rPr>
          <w:rFonts w:cstheme="minorHAnsi"/>
          <w:sz w:val="20"/>
          <w:szCs w:val="20"/>
        </w:rPr>
        <w:t xml:space="preserve">: Definition of signal functions to look at general facility readiness to provide </w:t>
      </w:r>
      <w:r>
        <w:rPr>
          <w:rFonts w:cstheme="minorHAnsi"/>
          <w:sz w:val="20"/>
          <w:szCs w:val="20"/>
        </w:rPr>
        <w:t>childbirth</w:t>
      </w:r>
      <w:r w:rsidRPr="009876EA">
        <w:rPr>
          <w:rFonts w:cstheme="minorHAnsi"/>
          <w:sz w:val="20"/>
          <w:szCs w:val="20"/>
        </w:rPr>
        <w:t xml:space="preserve"> services</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2407"/>
        <w:gridCol w:w="2312"/>
        <w:gridCol w:w="2024"/>
      </w:tblGrid>
      <w:tr w:rsidR="00022EA6" w:rsidRPr="009876EA" w:rsidTr="00FE4BAE">
        <w:tc>
          <w:tcPr>
            <w:tcW w:w="2283" w:type="dxa"/>
            <w:tcBorders>
              <w:top w:val="single" w:sz="12" w:space="0" w:color="auto"/>
              <w:bottom w:val="single" w:sz="12" w:space="0" w:color="auto"/>
            </w:tcBorders>
          </w:tcPr>
          <w:p w:rsidR="00022EA6" w:rsidRPr="009876EA" w:rsidRDefault="00022EA6" w:rsidP="00FE4BAE">
            <w:pPr>
              <w:rPr>
                <w:rFonts w:asciiTheme="minorHAnsi" w:hAnsiTheme="minorHAnsi" w:cstheme="minorHAnsi"/>
                <w:b/>
                <w:szCs w:val="20"/>
              </w:rPr>
            </w:pPr>
          </w:p>
        </w:tc>
        <w:tc>
          <w:tcPr>
            <w:tcW w:w="2407" w:type="dxa"/>
            <w:tcBorders>
              <w:top w:val="single" w:sz="12" w:space="0" w:color="auto"/>
              <w:bottom w:val="single" w:sz="12" w:space="0" w:color="auto"/>
            </w:tcBorders>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SPA (2006-2010: Kenya, Uganda, Namibia and Rwanda)</w:t>
            </w:r>
          </w:p>
        </w:tc>
        <w:tc>
          <w:tcPr>
            <w:tcW w:w="2312" w:type="dxa"/>
            <w:tcBorders>
              <w:top w:val="single" w:sz="12" w:space="0" w:color="auto"/>
              <w:bottom w:val="single" w:sz="12" w:space="0" w:color="auto"/>
            </w:tcBorders>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 xml:space="preserve">AMDD (2008-2012: Ethiopia, Ghana and Mozambique)  </w:t>
            </w:r>
          </w:p>
        </w:tc>
        <w:tc>
          <w:tcPr>
            <w:tcW w:w="2024" w:type="dxa"/>
            <w:tcBorders>
              <w:top w:val="single" w:sz="12" w:space="0" w:color="auto"/>
              <w:bottom w:val="single" w:sz="12" w:space="0" w:color="auto"/>
            </w:tcBorders>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China, 2011</w:t>
            </w:r>
          </w:p>
        </w:tc>
      </w:tr>
      <w:tr w:rsidR="00022EA6" w:rsidRPr="009876EA" w:rsidTr="00FE4BAE">
        <w:tc>
          <w:tcPr>
            <w:tcW w:w="7002" w:type="dxa"/>
            <w:gridSpan w:val="3"/>
            <w:tcBorders>
              <w:top w:val="single" w:sz="12" w:space="0" w:color="auto"/>
              <w:bottom w:val="single" w:sz="4" w:space="0" w:color="BFBFBF" w:themeColor="background1" w:themeShade="BF"/>
            </w:tcBorders>
            <w:shd w:val="clear" w:color="auto" w:fill="D9D9D9" w:themeFill="background1" w:themeFillShade="D9"/>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Emergency obstetric care (EmOC)</w:t>
            </w:r>
          </w:p>
        </w:tc>
        <w:tc>
          <w:tcPr>
            <w:tcW w:w="2024" w:type="dxa"/>
            <w:tcBorders>
              <w:top w:val="single" w:sz="12" w:space="0" w:color="auto"/>
              <w:bottom w:val="single" w:sz="4" w:space="0" w:color="BFBFBF" w:themeColor="background1" w:themeShade="BF"/>
            </w:tcBorders>
            <w:shd w:val="clear" w:color="auto" w:fill="D9D9D9" w:themeFill="background1" w:themeFillShade="D9"/>
          </w:tcPr>
          <w:p w:rsidR="00022EA6" w:rsidRPr="009876EA" w:rsidRDefault="00022EA6" w:rsidP="00FE4BAE">
            <w:pPr>
              <w:rPr>
                <w:rFonts w:asciiTheme="minorHAnsi" w:hAnsiTheme="minorHAnsi" w:cstheme="minorHAnsi"/>
                <w:b/>
                <w:szCs w:val="20"/>
              </w:rPr>
            </w:pPr>
          </w:p>
        </w:tc>
      </w:tr>
      <w:tr w:rsidR="00022EA6" w:rsidRPr="009876EA" w:rsidTr="00FE4BAE">
        <w:tc>
          <w:tcPr>
            <w:tcW w:w="2283" w:type="dxa"/>
            <w:tcBorders>
              <w:top w:val="single" w:sz="12" w:space="0" w:color="auto"/>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Parenteral antibiotics</w:t>
            </w:r>
          </w:p>
        </w:tc>
        <w:tc>
          <w:tcPr>
            <w:tcW w:w="2407" w:type="dxa"/>
            <w:tcBorders>
              <w:top w:val="single" w:sz="12" w:space="0" w:color="auto"/>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Ever provided + reported availability of drugs</w:t>
            </w:r>
          </w:p>
        </w:tc>
        <w:tc>
          <w:tcPr>
            <w:tcW w:w="2312" w:type="dxa"/>
            <w:tcBorders>
              <w:top w:val="single" w:sz="12" w:space="0" w:color="auto"/>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Administered in last 3 months</w:t>
            </w:r>
          </w:p>
        </w:tc>
        <w:tc>
          <w:tcPr>
            <w:tcW w:w="2024" w:type="dxa"/>
            <w:tcBorders>
              <w:top w:val="single" w:sz="12" w:space="0" w:color="auto"/>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highlight w:val="yellow"/>
              </w:rPr>
            </w:pPr>
            <w:r w:rsidRPr="009876EA">
              <w:rPr>
                <w:rFonts w:asciiTheme="minorHAnsi" w:hAnsiTheme="minorHAnsi" w:cstheme="minorHAnsi"/>
                <w:szCs w:val="20"/>
              </w:rPr>
              <w:t>Administered in last 3 months</w:t>
            </w:r>
          </w:p>
        </w:tc>
      </w:tr>
      <w:tr w:rsidR="00022EA6" w:rsidRPr="009876EA" w:rsidTr="00FE4BAE">
        <w:tc>
          <w:tcPr>
            <w:tcW w:w="2283"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Parenteral oxytocin</w:t>
            </w:r>
          </w:p>
        </w:tc>
        <w:tc>
          <w:tcPr>
            <w:tcW w:w="2407"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Ever provided + reported availability of drugs</w:t>
            </w:r>
          </w:p>
        </w:tc>
        <w:tc>
          <w:tcPr>
            <w:tcW w:w="2312"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Provided in the last 3 months</w:t>
            </w:r>
          </w:p>
        </w:tc>
        <w:tc>
          <w:tcPr>
            <w:tcW w:w="2024"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highlight w:val="yellow"/>
              </w:rPr>
            </w:pPr>
            <w:r w:rsidRPr="009876EA">
              <w:rPr>
                <w:rFonts w:asciiTheme="minorHAnsi" w:hAnsiTheme="minorHAnsi" w:cstheme="minorHAnsi"/>
                <w:szCs w:val="20"/>
              </w:rPr>
              <w:t>Provided in the last 3 months</w:t>
            </w:r>
          </w:p>
        </w:tc>
      </w:tr>
      <w:tr w:rsidR="00022EA6" w:rsidRPr="009876EA" w:rsidTr="00FE4BAE">
        <w:tc>
          <w:tcPr>
            <w:tcW w:w="2283"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Parenteral anticonvulsants</w:t>
            </w:r>
          </w:p>
        </w:tc>
        <w:tc>
          <w:tcPr>
            <w:tcW w:w="2407"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Ever provided + reported availability of drugs</w:t>
            </w:r>
          </w:p>
        </w:tc>
        <w:tc>
          <w:tcPr>
            <w:tcW w:w="2312"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Provided in the last 3 months</w:t>
            </w:r>
          </w:p>
        </w:tc>
        <w:tc>
          <w:tcPr>
            <w:tcW w:w="2024"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highlight w:val="yellow"/>
              </w:rPr>
            </w:pPr>
            <w:r w:rsidRPr="009876EA">
              <w:rPr>
                <w:rFonts w:asciiTheme="minorHAnsi" w:hAnsiTheme="minorHAnsi" w:cstheme="minorHAnsi"/>
                <w:szCs w:val="20"/>
              </w:rPr>
              <w:t>Provided in the last 3 months</w:t>
            </w:r>
          </w:p>
        </w:tc>
      </w:tr>
      <w:tr w:rsidR="00022EA6" w:rsidRPr="009876EA" w:rsidTr="00FE4BAE">
        <w:tc>
          <w:tcPr>
            <w:tcW w:w="2283"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Manual removal of placenta</w:t>
            </w:r>
          </w:p>
        </w:tc>
        <w:tc>
          <w:tcPr>
            <w:tcW w:w="2407"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Ever provided</w:t>
            </w:r>
          </w:p>
        </w:tc>
        <w:tc>
          <w:tcPr>
            <w:tcW w:w="2312"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Provided in the last 3 months</w:t>
            </w:r>
          </w:p>
        </w:tc>
        <w:tc>
          <w:tcPr>
            <w:tcW w:w="2024"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highlight w:val="yellow"/>
              </w:rPr>
            </w:pPr>
            <w:r w:rsidRPr="009876EA">
              <w:rPr>
                <w:rFonts w:asciiTheme="minorHAnsi" w:hAnsiTheme="minorHAnsi" w:cstheme="minorHAnsi"/>
                <w:szCs w:val="20"/>
              </w:rPr>
              <w:t>Provided in the last 3 months</w:t>
            </w:r>
          </w:p>
        </w:tc>
      </w:tr>
      <w:tr w:rsidR="00022EA6" w:rsidRPr="009876EA" w:rsidTr="00FE4BAE">
        <w:tc>
          <w:tcPr>
            <w:tcW w:w="2283"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Removal of retained products</w:t>
            </w:r>
          </w:p>
        </w:tc>
        <w:tc>
          <w:tcPr>
            <w:tcW w:w="2407"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Ability of facility + reported vacuum aspirator or  D &amp; C kit</w:t>
            </w:r>
          </w:p>
        </w:tc>
        <w:tc>
          <w:tcPr>
            <w:tcW w:w="2312"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Provided in the last 3 months</w:t>
            </w:r>
          </w:p>
        </w:tc>
        <w:tc>
          <w:tcPr>
            <w:tcW w:w="2024"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highlight w:val="yellow"/>
              </w:rPr>
            </w:pPr>
            <w:r w:rsidRPr="009876EA">
              <w:rPr>
                <w:rFonts w:asciiTheme="minorHAnsi" w:hAnsiTheme="minorHAnsi" w:cstheme="minorHAnsi"/>
                <w:szCs w:val="20"/>
              </w:rPr>
              <w:t>Provided in the last 3 months</w:t>
            </w:r>
          </w:p>
        </w:tc>
      </w:tr>
      <w:tr w:rsidR="00022EA6" w:rsidRPr="009876EA" w:rsidTr="00FE4BAE">
        <w:tc>
          <w:tcPr>
            <w:tcW w:w="2283"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Assisted vaginal delivery</w:t>
            </w:r>
            <w:r w:rsidRPr="009876EA">
              <w:rPr>
                <w:rFonts w:asciiTheme="minorHAnsi" w:hAnsiTheme="minorHAnsi" w:cstheme="minorHAnsi"/>
                <w:b/>
                <w:szCs w:val="20"/>
                <w:vertAlign w:val="superscript"/>
              </w:rPr>
              <w:t>1</w:t>
            </w:r>
          </w:p>
        </w:tc>
        <w:tc>
          <w:tcPr>
            <w:tcW w:w="2407"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Ever provided + reported </w:t>
            </w:r>
            <w:proofErr w:type="spellStart"/>
            <w:r w:rsidRPr="009876EA">
              <w:rPr>
                <w:rFonts w:asciiTheme="minorHAnsi" w:hAnsiTheme="minorHAnsi" w:cstheme="minorHAnsi"/>
                <w:szCs w:val="20"/>
              </w:rPr>
              <w:t>ventouse</w:t>
            </w:r>
            <w:proofErr w:type="spellEnd"/>
            <w:r w:rsidRPr="009876EA">
              <w:rPr>
                <w:rFonts w:asciiTheme="minorHAnsi" w:hAnsiTheme="minorHAnsi" w:cstheme="minorHAnsi"/>
                <w:szCs w:val="20"/>
              </w:rPr>
              <w:t xml:space="preserve"> or large forceps</w:t>
            </w:r>
          </w:p>
        </w:tc>
        <w:tc>
          <w:tcPr>
            <w:tcW w:w="2312"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Provided in the last 3 months</w:t>
            </w:r>
          </w:p>
        </w:tc>
        <w:tc>
          <w:tcPr>
            <w:tcW w:w="2024"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highlight w:val="yellow"/>
              </w:rPr>
            </w:pPr>
            <w:r w:rsidRPr="009876EA">
              <w:rPr>
                <w:rFonts w:asciiTheme="minorHAnsi" w:hAnsiTheme="minorHAnsi" w:cstheme="minorHAnsi"/>
                <w:szCs w:val="20"/>
              </w:rPr>
              <w:t>Provided in the last 3 months</w:t>
            </w:r>
          </w:p>
        </w:tc>
      </w:tr>
      <w:tr w:rsidR="00022EA6" w:rsidRPr="009876EA" w:rsidTr="00FE4BAE">
        <w:tc>
          <w:tcPr>
            <w:tcW w:w="2283"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 xml:space="preserve">Blood transfusion </w:t>
            </w:r>
          </w:p>
        </w:tc>
        <w:tc>
          <w:tcPr>
            <w:tcW w:w="2407"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Ever provided</w:t>
            </w:r>
          </w:p>
        </w:tc>
        <w:tc>
          <w:tcPr>
            <w:tcW w:w="2312"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Provided in the last 3 months</w:t>
            </w:r>
          </w:p>
        </w:tc>
        <w:tc>
          <w:tcPr>
            <w:tcW w:w="2024"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highlight w:val="yellow"/>
              </w:rPr>
            </w:pPr>
            <w:r w:rsidRPr="009876EA">
              <w:rPr>
                <w:rFonts w:asciiTheme="minorHAnsi" w:hAnsiTheme="minorHAnsi" w:cstheme="minorHAnsi"/>
                <w:szCs w:val="20"/>
              </w:rPr>
              <w:t>Provided in the last 3 months</w:t>
            </w:r>
          </w:p>
        </w:tc>
      </w:tr>
      <w:tr w:rsidR="00022EA6" w:rsidRPr="009876EA" w:rsidTr="00FE4BAE">
        <w:tc>
          <w:tcPr>
            <w:tcW w:w="2283" w:type="dxa"/>
            <w:tcBorders>
              <w:top w:val="single" w:sz="4" w:space="0" w:color="BFBFBF" w:themeColor="background1" w:themeShade="BF"/>
              <w:bottom w:val="single" w:sz="4" w:space="0" w:color="D9D9D9" w:themeColor="background1" w:themeShade="D9"/>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Caesarean section</w:t>
            </w:r>
          </w:p>
        </w:tc>
        <w:tc>
          <w:tcPr>
            <w:tcW w:w="2407" w:type="dxa"/>
            <w:tcBorders>
              <w:top w:val="single" w:sz="4" w:space="0" w:color="BFBFBF" w:themeColor="background1" w:themeShade="BF"/>
              <w:bottom w:val="single" w:sz="4" w:space="0" w:color="D9D9D9" w:themeColor="background1" w:themeShade="D9"/>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Ever provided</w:t>
            </w:r>
          </w:p>
        </w:tc>
        <w:tc>
          <w:tcPr>
            <w:tcW w:w="2312" w:type="dxa"/>
            <w:tcBorders>
              <w:top w:val="single" w:sz="4" w:space="0" w:color="BFBFBF" w:themeColor="background1" w:themeShade="BF"/>
              <w:bottom w:val="single" w:sz="4" w:space="0" w:color="D9D9D9" w:themeColor="background1" w:themeShade="D9"/>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Provided in the last 3 months</w:t>
            </w:r>
          </w:p>
        </w:tc>
        <w:tc>
          <w:tcPr>
            <w:tcW w:w="2024" w:type="dxa"/>
            <w:tcBorders>
              <w:top w:val="single" w:sz="4" w:space="0" w:color="BFBFBF" w:themeColor="background1" w:themeShade="BF"/>
              <w:bottom w:val="single" w:sz="4" w:space="0" w:color="D9D9D9" w:themeColor="background1" w:themeShade="D9"/>
            </w:tcBorders>
            <w:vAlign w:val="center"/>
          </w:tcPr>
          <w:p w:rsidR="00022EA6" w:rsidRPr="009876EA" w:rsidRDefault="00022EA6" w:rsidP="00FE4BAE">
            <w:pPr>
              <w:rPr>
                <w:rFonts w:asciiTheme="minorHAnsi" w:hAnsiTheme="minorHAnsi" w:cstheme="minorHAnsi"/>
                <w:szCs w:val="20"/>
                <w:highlight w:val="yellow"/>
              </w:rPr>
            </w:pPr>
            <w:r w:rsidRPr="009876EA">
              <w:rPr>
                <w:rFonts w:asciiTheme="minorHAnsi" w:hAnsiTheme="minorHAnsi" w:cstheme="minorHAnsi"/>
                <w:szCs w:val="20"/>
              </w:rPr>
              <w:t>Provided in the last 3 months</w:t>
            </w:r>
          </w:p>
        </w:tc>
      </w:tr>
      <w:tr w:rsidR="00022EA6" w:rsidRPr="009876EA" w:rsidTr="00FE4BAE">
        <w:tc>
          <w:tcPr>
            <w:tcW w:w="7002" w:type="dxa"/>
            <w:gridSpan w:val="3"/>
            <w:tcBorders>
              <w:top w:val="single" w:sz="12" w:space="0" w:color="auto"/>
              <w:bottom w:val="single" w:sz="4" w:space="0" w:color="BFBFBF" w:themeColor="background1" w:themeShade="BF"/>
            </w:tcBorders>
            <w:shd w:val="clear" w:color="auto" w:fill="D9D9D9" w:themeFill="background1" w:themeFillShade="D9"/>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b/>
                <w:szCs w:val="20"/>
              </w:rPr>
              <w:t xml:space="preserve">Routine </w:t>
            </w:r>
            <w:r>
              <w:rPr>
                <w:rFonts w:asciiTheme="minorHAnsi" w:hAnsiTheme="minorHAnsi" w:cstheme="minorHAnsi"/>
                <w:b/>
                <w:szCs w:val="20"/>
              </w:rPr>
              <w:t>childbirth</w:t>
            </w:r>
            <w:r w:rsidRPr="009876EA">
              <w:rPr>
                <w:rFonts w:asciiTheme="minorHAnsi" w:hAnsiTheme="minorHAnsi" w:cstheme="minorHAnsi"/>
                <w:b/>
                <w:szCs w:val="20"/>
              </w:rPr>
              <w:t xml:space="preserve"> care</w:t>
            </w:r>
          </w:p>
        </w:tc>
        <w:tc>
          <w:tcPr>
            <w:tcW w:w="2024" w:type="dxa"/>
            <w:tcBorders>
              <w:top w:val="single" w:sz="12" w:space="0" w:color="auto"/>
              <w:bottom w:val="single" w:sz="4" w:space="0" w:color="BFBFBF" w:themeColor="background1" w:themeShade="BF"/>
            </w:tcBorders>
            <w:shd w:val="clear" w:color="auto" w:fill="D9D9D9" w:themeFill="background1" w:themeFillShade="D9"/>
          </w:tcPr>
          <w:p w:rsidR="00022EA6" w:rsidRPr="009876EA" w:rsidRDefault="00022EA6" w:rsidP="00FE4BAE">
            <w:pPr>
              <w:rPr>
                <w:rFonts w:asciiTheme="minorHAnsi" w:hAnsiTheme="minorHAnsi" w:cstheme="minorHAnsi"/>
                <w:b/>
                <w:szCs w:val="20"/>
              </w:rPr>
            </w:pPr>
          </w:p>
        </w:tc>
      </w:tr>
      <w:tr w:rsidR="00022EA6" w:rsidRPr="009876EA" w:rsidTr="00FE4BAE">
        <w:tc>
          <w:tcPr>
            <w:tcW w:w="2283" w:type="dxa"/>
            <w:tcBorders>
              <w:top w:val="single" w:sz="12" w:space="0" w:color="auto"/>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Monitoring and management of labour using a partogram</w:t>
            </w:r>
            <w:r w:rsidRPr="009876EA">
              <w:rPr>
                <w:rFonts w:asciiTheme="minorHAnsi" w:hAnsiTheme="minorHAnsi" w:cstheme="minorHAnsi"/>
                <w:b/>
                <w:szCs w:val="20"/>
                <w:vertAlign w:val="superscript"/>
              </w:rPr>
              <w:t>2</w:t>
            </w:r>
          </w:p>
        </w:tc>
        <w:tc>
          <w:tcPr>
            <w:tcW w:w="2407" w:type="dxa"/>
            <w:tcBorders>
              <w:top w:val="single" w:sz="12" w:space="0" w:color="auto"/>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Reported availability of </w:t>
            </w:r>
            <w:proofErr w:type="spellStart"/>
            <w:r w:rsidRPr="009876EA">
              <w:rPr>
                <w:rFonts w:asciiTheme="minorHAnsi" w:hAnsiTheme="minorHAnsi" w:cstheme="minorHAnsi"/>
                <w:szCs w:val="20"/>
              </w:rPr>
              <w:t>partogram</w:t>
            </w:r>
            <w:proofErr w:type="spellEnd"/>
            <w:r w:rsidRPr="009876EA">
              <w:rPr>
                <w:rFonts w:asciiTheme="minorHAnsi" w:hAnsiTheme="minorHAnsi" w:cstheme="minorHAnsi"/>
                <w:szCs w:val="20"/>
              </w:rPr>
              <w:t xml:space="preserve"> + </w:t>
            </w:r>
            <w:proofErr w:type="spellStart"/>
            <w:r w:rsidRPr="009876EA">
              <w:rPr>
                <w:rFonts w:asciiTheme="minorHAnsi" w:hAnsiTheme="minorHAnsi" w:cstheme="minorHAnsi"/>
                <w:szCs w:val="20"/>
              </w:rPr>
              <w:t>foetoscope</w:t>
            </w:r>
            <w:proofErr w:type="spellEnd"/>
          </w:p>
        </w:tc>
        <w:tc>
          <w:tcPr>
            <w:tcW w:w="2312" w:type="dxa"/>
            <w:tcBorders>
              <w:top w:val="single" w:sz="12" w:space="0" w:color="auto"/>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Used </w:t>
            </w:r>
            <w:proofErr w:type="spellStart"/>
            <w:r w:rsidRPr="009876EA">
              <w:rPr>
                <w:rFonts w:asciiTheme="minorHAnsi" w:hAnsiTheme="minorHAnsi" w:cstheme="minorHAnsi"/>
                <w:szCs w:val="20"/>
              </w:rPr>
              <w:t>partogram</w:t>
            </w:r>
            <w:proofErr w:type="spellEnd"/>
            <w:r w:rsidRPr="009876EA">
              <w:rPr>
                <w:rFonts w:asciiTheme="minorHAnsi" w:hAnsiTheme="minorHAnsi" w:cstheme="minorHAnsi"/>
                <w:szCs w:val="20"/>
              </w:rPr>
              <w:t xml:space="preserve"> for management of  </w:t>
            </w:r>
            <w:proofErr w:type="spellStart"/>
            <w:r w:rsidRPr="009876EA">
              <w:rPr>
                <w:rFonts w:asciiTheme="minorHAnsi" w:hAnsiTheme="minorHAnsi" w:cstheme="minorHAnsi"/>
                <w:szCs w:val="20"/>
              </w:rPr>
              <w:t>labor</w:t>
            </w:r>
            <w:proofErr w:type="spellEnd"/>
            <w:r w:rsidRPr="009876EA">
              <w:rPr>
                <w:rFonts w:asciiTheme="minorHAnsi" w:hAnsiTheme="minorHAnsi" w:cstheme="minorHAnsi"/>
                <w:szCs w:val="20"/>
              </w:rPr>
              <w:t xml:space="preserve"> in last 3 months</w:t>
            </w:r>
          </w:p>
        </w:tc>
        <w:tc>
          <w:tcPr>
            <w:tcW w:w="2024" w:type="dxa"/>
            <w:tcBorders>
              <w:top w:val="single" w:sz="12" w:space="0" w:color="auto"/>
            </w:tcBorders>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Not asked</w:t>
            </w:r>
          </w:p>
        </w:tc>
      </w:tr>
      <w:tr w:rsidR="00022EA6" w:rsidRPr="009876EA" w:rsidTr="00FE4BAE">
        <w:tc>
          <w:tcPr>
            <w:tcW w:w="2283"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Infection prevention measures</w:t>
            </w:r>
          </w:p>
        </w:tc>
        <w:tc>
          <w:tcPr>
            <w:tcW w:w="2407"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Reported clean water source +  hand soap + gloves</w:t>
            </w:r>
          </w:p>
        </w:tc>
        <w:tc>
          <w:tcPr>
            <w:tcW w:w="2312" w:type="dxa"/>
            <w:tcBorders>
              <w:top w:val="single" w:sz="4" w:space="0" w:color="BFBFBF" w:themeColor="background1" w:themeShade="BF"/>
              <w:bottom w:val="single" w:sz="4" w:space="0" w:color="BFBFBF" w:themeColor="background1" w:themeShade="BF"/>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Soap +  gloves (examination gloves, sterile or non-sterile) + </w:t>
            </w:r>
            <w:r w:rsidRPr="009876EA">
              <w:rPr>
                <w:rFonts w:asciiTheme="minorHAnsi" w:hAnsiTheme="minorHAnsi" w:cstheme="minorHAnsi"/>
                <w:szCs w:val="20"/>
              </w:rPr>
              <w:lastRenderedPageBreak/>
              <w:t>water for infection prevention</w:t>
            </w:r>
          </w:p>
        </w:tc>
        <w:tc>
          <w:tcPr>
            <w:tcW w:w="2024" w:type="dxa"/>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lastRenderedPageBreak/>
              <w:t>Not asked</w:t>
            </w:r>
          </w:p>
        </w:tc>
      </w:tr>
      <w:tr w:rsidR="00022EA6" w:rsidRPr="009876EA" w:rsidTr="00FE4BAE">
        <w:tc>
          <w:tcPr>
            <w:tcW w:w="2283" w:type="dxa"/>
            <w:tcBorders>
              <w:top w:val="single" w:sz="4" w:space="0" w:color="BFBFBF" w:themeColor="background1" w:themeShade="BF"/>
              <w:bottom w:val="single" w:sz="4" w:space="0" w:color="D9D9D9" w:themeColor="background1" w:themeShade="D9"/>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lastRenderedPageBreak/>
              <w:t>Routine injection of oxytocin/AMTSL</w:t>
            </w:r>
          </w:p>
        </w:tc>
        <w:tc>
          <w:tcPr>
            <w:tcW w:w="2407" w:type="dxa"/>
            <w:tcBorders>
              <w:top w:val="single" w:sz="4" w:space="0" w:color="BFBFBF" w:themeColor="background1" w:themeShade="BF"/>
              <w:bottom w:val="single" w:sz="4" w:space="0" w:color="D9D9D9" w:themeColor="background1" w:themeShade="D9"/>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Routine or selective administration of </w:t>
            </w:r>
            <w:proofErr w:type="spellStart"/>
            <w:r w:rsidRPr="009876EA">
              <w:rPr>
                <w:rFonts w:asciiTheme="minorHAnsi" w:hAnsiTheme="minorHAnsi" w:cstheme="minorHAnsi"/>
                <w:szCs w:val="20"/>
              </w:rPr>
              <w:t>uterotonic</w:t>
            </w:r>
            <w:proofErr w:type="spellEnd"/>
            <w:r w:rsidRPr="009876EA">
              <w:rPr>
                <w:rFonts w:asciiTheme="minorHAnsi" w:hAnsiTheme="minorHAnsi" w:cstheme="minorHAnsi"/>
                <w:szCs w:val="20"/>
              </w:rPr>
              <w:t xml:space="preserve"> medicine for </w:t>
            </w:r>
            <w:proofErr w:type="spellStart"/>
            <w:r w:rsidRPr="009876EA">
              <w:rPr>
                <w:rFonts w:asciiTheme="minorHAnsi" w:hAnsiTheme="minorHAnsi" w:cstheme="minorHAnsi"/>
                <w:szCs w:val="20"/>
              </w:rPr>
              <w:t>AMTSL</w:t>
            </w:r>
            <w:proofErr w:type="spellEnd"/>
            <w:r w:rsidRPr="009876EA">
              <w:rPr>
                <w:rFonts w:asciiTheme="minorHAnsi" w:hAnsiTheme="minorHAnsi" w:cstheme="minorHAnsi"/>
                <w:szCs w:val="20"/>
              </w:rPr>
              <w:t xml:space="preserve"> + reported availability of </w:t>
            </w:r>
            <w:proofErr w:type="spellStart"/>
            <w:r w:rsidRPr="009876EA">
              <w:rPr>
                <w:rFonts w:asciiTheme="minorHAnsi" w:hAnsiTheme="minorHAnsi" w:cstheme="minorHAnsi"/>
                <w:szCs w:val="20"/>
              </w:rPr>
              <w:t>uterotonic</w:t>
            </w:r>
            <w:proofErr w:type="spellEnd"/>
          </w:p>
        </w:tc>
        <w:tc>
          <w:tcPr>
            <w:tcW w:w="2312" w:type="dxa"/>
            <w:tcBorders>
              <w:top w:val="single" w:sz="4" w:space="0" w:color="BFBFBF" w:themeColor="background1" w:themeShade="BF"/>
              <w:bottom w:val="single" w:sz="4" w:space="0" w:color="D9D9D9" w:themeColor="background1" w:themeShade="D9"/>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Staff at facility routinely use of AMTSL</w:t>
            </w:r>
          </w:p>
        </w:tc>
        <w:tc>
          <w:tcPr>
            <w:tcW w:w="2024" w:type="dxa"/>
            <w:tcBorders>
              <w:bottom w:val="single" w:sz="4" w:space="0" w:color="D9D9D9" w:themeColor="background1" w:themeShade="D9"/>
            </w:tcBorders>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Not asked</w:t>
            </w:r>
          </w:p>
        </w:tc>
      </w:tr>
      <w:tr w:rsidR="00022EA6" w:rsidRPr="009876EA" w:rsidTr="00FE4BAE">
        <w:tc>
          <w:tcPr>
            <w:tcW w:w="7002" w:type="dxa"/>
            <w:gridSpan w:val="3"/>
            <w:tcBorders>
              <w:top w:val="single" w:sz="12" w:space="0" w:color="auto"/>
              <w:bottom w:val="single" w:sz="4" w:space="0" w:color="D9D9D9" w:themeColor="background1" w:themeShade="D9"/>
            </w:tcBorders>
            <w:shd w:val="clear" w:color="auto" w:fill="D9D9D9" w:themeFill="background1" w:themeFillShade="D9"/>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General facility readiness</w:t>
            </w:r>
          </w:p>
        </w:tc>
        <w:tc>
          <w:tcPr>
            <w:tcW w:w="2024" w:type="dxa"/>
            <w:tcBorders>
              <w:top w:val="single" w:sz="12" w:space="0" w:color="auto"/>
              <w:bottom w:val="single" w:sz="4" w:space="0" w:color="D9D9D9" w:themeColor="background1" w:themeShade="D9"/>
            </w:tcBorders>
            <w:shd w:val="clear" w:color="auto" w:fill="D9D9D9" w:themeFill="background1" w:themeFillShade="D9"/>
          </w:tcPr>
          <w:p w:rsidR="00022EA6" w:rsidRPr="009876EA" w:rsidRDefault="00022EA6" w:rsidP="00FE4BAE">
            <w:pPr>
              <w:rPr>
                <w:rFonts w:asciiTheme="minorHAnsi" w:hAnsiTheme="minorHAnsi" w:cstheme="minorHAnsi"/>
                <w:b/>
                <w:szCs w:val="20"/>
              </w:rPr>
            </w:pPr>
          </w:p>
        </w:tc>
      </w:tr>
      <w:tr w:rsidR="00022EA6" w:rsidRPr="009876EA" w:rsidTr="00FE4BAE">
        <w:tc>
          <w:tcPr>
            <w:tcW w:w="2283" w:type="dxa"/>
            <w:tcBorders>
              <w:top w:val="single" w:sz="12" w:space="0" w:color="auto"/>
              <w:bottom w:val="single" w:sz="4" w:space="0" w:color="D9D9D9" w:themeColor="background1" w:themeShade="D9"/>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Service availability 24/7</w:t>
            </w:r>
          </w:p>
        </w:tc>
        <w:tc>
          <w:tcPr>
            <w:tcW w:w="2407" w:type="dxa"/>
            <w:tcBorders>
              <w:top w:val="single" w:sz="12" w:space="0" w:color="auto"/>
              <w:bottom w:val="single" w:sz="4" w:space="0" w:color="D9D9D9" w:themeColor="background1" w:themeShade="D9"/>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Coverage of </w:t>
            </w:r>
            <w:r>
              <w:rPr>
                <w:rFonts w:asciiTheme="minorHAnsi" w:hAnsiTheme="minorHAnsi" w:cstheme="minorHAnsi"/>
                <w:szCs w:val="20"/>
              </w:rPr>
              <w:t>childbirth</w:t>
            </w:r>
            <w:r w:rsidRPr="009876EA">
              <w:rPr>
                <w:rFonts w:asciiTheme="minorHAnsi" w:hAnsiTheme="minorHAnsi" w:cstheme="minorHAnsi"/>
                <w:szCs w:val="20"/>
              </w:rPr>
              <w:t xml:space="preserve"> services 24/7 </w:t>
            </w:r>
          </w:p>
        </w:tc>
        <w:tc>
          <w:tcPr>
            <w:tcW w:w="2312" w:type="dxa"/>
            <w:tcBorders>
              <w:top w:val="single" w:sz="12" w:space="0" w:color="auto"/>
              <w:bottom w:val="single" w:sz="4" w:space="0" w:color="D9D9D9" w:themeColor="background1" w:themeShade="D9"/>
            </w:tcBorders>
            <w:shd w:val="clear" w:color="auto" w:fill="auto"/>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Coverage of </w:t>
            </w:r>
            <w:r>
              <w:rPr>
                <w:rFonts w:asciiTheme="minorHAnsi" w:hAnsiTheme="minorHAnsi" w:cstheme="minorHAnsi"/>
                <w:szCs w:val="20"/>
              </w:rPr>
              <w:t>childbirth</w:t>
            </w:r>
            <w:r w:rsidRPr="009876EA">
              <w:rPr>
                <w:rFonts w:asciiTheme="minorHAnsi" w:hAnsiTheme="minorHAnsi" w:cstheme="minorHAnsi"/>
                <w:szCs w:val="20"/>
              </w:rPr>
              <w:t xml:space="preserve"> services 24/7</w:t>
            </w:r>
          </w:p>
        </w:tc>
        <w:tc>
          <w:tcPr>
            <w:tcW w:w="2024" w:type="dxa"/>
            <w:tcBorders>
              <w:top w:val="single" w:sz="12" w:space="0" w:color="auto"/>
            </w:tcBorders>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Not asked</w:t>
            </w:r>
          </w:p>
        </w:tc>
      </w:tr>
      <w:tr w:rsidR="00022EA6" w:rsidRPr="009876EA" w:rsidTr="00FE4BAE">
        <w:tc>
          <w:tcPr>
            <w:tcW w:w="2283" w:type="dxa"/>
            <w:tcBorders>
              <w:top w:val="single" w:sz="4" w:space="0" w:color="D9D9D9" w:themeColor="background1" w:themeShade="D9"/>
              <w:bottom w:val="single" w:sz="4" w:space="0" w:color="D9D9D9" w:themeColor="background1" w:themeShade="D9"/>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 xml:space="preserve">Electricity </w:t>
            </w:r>
          </w:p>
        </w:tc>
        <w:tc>
          <w:tcPr>
            <w:tcW w:w="2407" w:type="dxa"/>
            <w:tcBorders>
              <w:top w:val="single" w:sz="4" w:space="0" w:color="D9D9D9" w:themeColor="background1" w:themeShade="D9"/>
              <w:bottom w:val="single" w:sz="4" w:space="0" w:color="D9D9D9" w:themeColor="background1" w:themeShade="D9"/>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Any source of electricity which is always available </w:t>
            </w:r>
          </w:p>
        </w:tc>
        <w:tc>
          <w:tcPr>
            <w:tcW w:w="2312" w:type="dxa"/>
            <w:tcBorders>
              <w:top w:val="single" w:sz="4" w:space="0" w:color="D9D9D9" w:themeColor="background1" w:themeShade="D9"/>
              <w:bottom w:val="single" w:sz="4" w:space="0" w:color="D9D9D9" w:themeColor="background1" w:themeShade="D9"/>
            </w:tcBorders>
            <w:shd w:val="clear" w:color="auto" w:fill="auto"/>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Any source of electricity</w:t>
            </w:r>
          </w:p>
        </w:tc>
        <w:tc>
          <w:tcPr>
            <w:tcW w:w="2024" w:type="dxa"/>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Not asked</w:t>
            </w:r>
          </w:p>
        </w:tc>
      </w:tr>
      <w:tr w:rsidR="00022EA6" w:rsidRPr="009876EA" w:rsidTr="00FE4BAE">
        <w:tc>
          <w:tcPr>
            <w:tcW w:w="2283" w:type="dxa"/>
            <w:tcBorders>
              <w:top w:val="single" w:sz="4" w:space="0" w:color="D9D9D9" w:themeColor="background1" w:themeShade="D9"/>
              <w:bottom w:val="single" w:sz="12" w:space="0" w:color="auto"/>
            </w:tcBorders>
            <w:vAlign w:val="center"/>
          </w:tcPr>
          <w:p w:rsidR="00022EA6" w:rsidRPr="009876EA" w:rsidRDefault="00022EA6" w:rsidP="00FE4BAE">
            <w:pPr>
              <w:rPr>
                <w:rFonts w:asciiTheme="minorHAnsi" w:hAnsiTheme="minorHAnsi" w:cstheme="minorHAnsi"/>
                <w:b/>
                <w:szCs w:val="20"/>
              </w:rPr>
            </w:pPr>
            <w:r w:rsidRPr="009876EA">
              <w:rPr>
                <w:rFonts w:asciiTheme="minorHAnsi" w:hAnsiTheme="minorHAnsi" w:cstheme="minorHAnsi"/>
                <w:b/>
                <w:szCs w:val="20"/>
              </w:rPr>
              <w:t>Water supply</w:t>
            </w:r>
          </w:p>
        </w:tc>
        <w:tc>
          <w:tcPr>
            <w:tcW w:w="2407" w:type="dxa"/>
            <w:tcBorders>
              <w:top w:val="single" w:sz="4" w:space="0" w:color="D9D9D9" w:themeColor="background1" w:themeShade="D9"/>
              <w:bottom w:val="single" w:sz="12" w:space="0" w:color="auto"/>
            </w:tcBorders>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 xml:space="preserve">Water pipe or tap available within 500m of the facility </w:t>
            </w:r>
          </w:p>
        </w:tc>
        <w:tc>
          <w:tcPr>
            <w:tcW w:w="2312" w:type="dxa"/>
            <w:tcBorders>
              <w:top w:val="single" w:sz="4" w:space="0" w:color="D9D9D9" w:themeColor="background1" w:themeShade="D9"/>
              <w:bottom w:val="single" w:sz="12" w:space="0" w:color="auto"/>
            </w:tcBorders>
            <w:shd w:val="clear" w:color="auto" w:fill="auto"/>
            <w:vAlign w:val="center"/>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Water for infection prevention available at the facility</w:t>
            </w:r>
          </w:p>
        </w:tc>
        <w:tc>
          <w:tcPr>
            <w:tcW w:w="2024" w:type="dxa"/>
            <w:tcBorders>
              <w:bottom w:val="single" w:sz="12" w:space="0" w:color="auto"/>
            </w:tcBorders>
          </w:tcPr>
          <w:p w:rsidR="00022EA6" w:rsidRPr="009876EA" w:rsidRDefault="00022EA6" w:rsidP="00FE4BAE">
            <w:pPr>
              <w:rPr>
                <w:rFonts w:asciiTheme="minorHAnsi" w:hAnsiTheme="minorHAnsi" w:cstheme="minorHAnsi"/>
                <w:szCs w:val="20"/>
              </w:rPr>
            </w:pPr>
            <w:r w:rsidRPr="009876EA">
              <w:rPr>
                <w:rFonts w:asciiTheme="minorHAnsi" w:hAnsiTheme="minorHAnsi" w:cstheme="minorHAnsi"/>
                <w:szCs w:val="20"/>
              </w:rPr>
              <w:t>Not asked</w:t>
            </w:r>
          </w:p>
        </w:tc>
      </w:tr>
    </w:tbl>
    <w:p w:rsidR="00022EA6" w:rsidRPr="009876EA" w:rsidRDefault="00022EA6" w:rsidP="00FE4BAE">
      <w:pPr>
        <w:spacing w:after="0" w:line="240" w:lineRule="auto"/>
        <w:rPr>
          <w:rFonts w:asciiTheme="minorHAnsi" w:hAnsiTheme="minorHAnsi" w:cstheme="minorHAnsi"/>
          <w:szCs w:val="20"/>
        </w:rPr>
      </w:pPr>
      <w:r w:rsidRPr="009876EA">
        <w:rPr>
          <w:rFonts w:asciiTheme="minorHAnsi" w:hAnsiTheme="minorHAnsi" w:cstheme="minorHAnsi"/>
          <w:szCs w:val="20"/>
        </w:rPr>
        <w:t>Abbreviations: D &amp; C – dilation and curettage; AMSTL – active management of the third stage of labour</w:t>
      </w:r>
    </w:p>
    <w:p w:rsidR="00022EA6" w:rsidRPr="009876EA" w:rsidRDefault="00022EA6" w:rsidP="00FE4BAE">
      <w:pPr>
        <w:spacing w:after="0" w:line="240" w:lineRule="auto"/>
        <w:rPr>
          <w:rFonts w:asciiTheme="minorHAnsi" w:hAnsiTheme="minorHAnsi" w:cstheme="minorHAnsi"/>
          <w:szCs w:val="20"/>
        </w:rPr>
      </w:pPr>
      <w:r w:rsidRPr="009876EA">
        <w:rPr>
          <w:rFonts w:asciiTheme="minorHAnsi" w:hAnsiTheme="minorHAnsi" w:cstheme="minorHAnsi"/>
          <w:b/>
          <w:szCs w:val="20"/>
          <w:vertAlign w:val="superscript"/>
        </w:rPr>
        <w:t>1</w:t>
      </w:r>
      <w:r w:rsidRPr="009876EA">
        <w:rPr>
          <w:rFonts w:asciiTheme="minorHAnsi" w:hAnsiTheme="minorHAnsi" w:cstheme="minorHAnsi"/>
          <w:szCs w:val="20"/>
        </w:rPr>
        <w:t xml:space="preserve">Information on large forceps not available in Uganda or Rwanda. Information on </w:t>
      </w:r>
      <w:proofErr w:type="spellStart"/>
      <w:r w:rsidRPr="009876EA">
        <w:rPr>
          <w:rFonts w:asciiTheme="minorHAnsi" w:hAnsiTheme="minorHAnsi" w:cstheme="minorHAnsi"/>
          <w:szCs w:val="20"/>
        </w:rPr>
        <w:t>ventouse</w:t>
      </w:r>
      <w:proofErr w:type="spellEnd"/>
      <w:r w:rsidRPr="009876EA">
        <w:rPr>
          <w:rFonts w:asciiTheme="minorHAnsi" w:hAnsiTheme="minorHAnsi" w:cstheme="minorHAnsi"/>
          <w:szCs w:val="20"/>
        </w:rPr>
        <w:t xml:space="preserve"> not available in Malawi.</w:t>
      </w:r>
    </w:p>
    <w:p w:rsidR="00022EA6" w:rsidRPr="009876EA" w:rsidRDefault="00022EA6" w:rsidP="00FE4BAE">
      <w:pPr>
        <w:spacing w:after="0" w:line="240" w:lineRule="auto"/>
        <w:rPr>
          <w:rFonts w:asciiTheme="minorHAnsi" w:hAnsiTheme="minorHAnsi" w:cstheme="minorHAnsi"/>
          <w:szCs w:val="20"/>
          <w:vertAlign w:val="superscript"/>
        </w:rPr>
      </w:pPr>
      <w:proofErr w:type="spellStart"/>
      <w:r w:rsidRPr="009876EA">
        <w:rPr>
          <w:rFonts w:asciiTheme="minorHAnsi" w:hAnsiTheme="minorHAnsi" w:cstheme="minorHAnsi"/>
          <w:b/>
          <w:szCs w:val="20"/>
          <w:vertAlign w:val="superscript"/>
        </w:rPr>
        <w:t>2</w:t>
      </w:r>
      <w:r w:rsidRPr="009876EA">
        <w:rPr>
          <w:rFonts w:asciiTheme="minorHAnsi" w:hAnsiTheme="minorHAnsi" w:cstheme="minorHAnsi"/>
          <w:szCs w:val="20"/>
        </w:rPr>
        <w:t>No</w:t>
      </w:r>
      <w:proofErr w:type="spellEnd"/>
      <w:r w:rsidRPr="009876EA">
        <w:rPr>
          <w:rFonts w:asciiTheme="minorHAnsi" w:hAnsiTheme="minorHAnsi" w:cstheme="minorHAnsi"/>
          <w:szCs w:val="20"/>
        </w:rPr>
        <w:t xml:space="preserve"> information on </w:t>
      </w:r>
      <w:proofErr w:type="spellStart"/>
      <w:r w:rsidRPr="009876EA">
        <w:rPr>
          <w:rFonts w:asciiTheme="minorHAnsi" w:hAnsiTheme="minorHAnsi" w:cstheme="minorHAnsi"/>
          <w:szCs w:val="20"/>
        </w:rPr>
        <w:t>fetoscope</w:t>
      </w:r>
      <w:proofErr w:type="spellEnd"/>
      <w:r w:rsidRPr="009876EA">
        <w:rPr>
          <w:rFonts w:asciiTheme="minorHAnsi" w:hAnsiTheme="minorHAnsi" w:cstheme="minorHAnsi"/>
          <w:szCs w:val="20"/>
        </w:rPr>
        <w:t xml:space="preserve"> in Uganda</w:t>
      </w:r>
    </w:p>
    <w:p w:rsidR="00022EA6" w:rsidRPr="009876EA" w:rsidRDefault="00022EA6" w:rsidP="00FE4BAE">
      <w:pPr>
        <w:spacing w:after="0" w:line="240" w:lineRule="auto"/>
        <w:rPr>
          <w:rFonts w:asciiTheme="minorHAnsi" w:hAnsiTheme="minorHAnsi" w:cstheme="minorHAnsi"/>
          <w:b/>
          <w:szCs w:val="20"/>
        </w:rPr>
      </w:pP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Subsequently, within each domain (EmOC, routine care or general facility readiness) summary variables were created, by calculating the total number of functions that each facility was reported to be able to conduct. Facilities with missing data on at least one function, meaning the summary variable could not be calculated, were excluded. </w:t>
      </w:r>
    </w:p>
    <w:p w:rsidR="00022EA6" w:rsidRPr="009876EA" w:rsidRDefault="00022EA6" w:rsidP="00FE4BAE">
      <w:pPr>
        <w:spacing w:after="0" w:line="240" w:lineRule="auto"/>
        <w:jc w:val="both"/>
        <w:rPr>
          <w:rFonts w:asciiTheme="minorHAnsi" w:hAnsiTheme="minorHAnsi" w:cstheme="minorHAnsi"/>
          <w:b/>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 xml:space="preserve">Data analysis </w:t>
      </w:r>
    </w:p>
    <w:p w:rsidR="00022EA6" w:rsidRPr="009876EA" w:rsidRDefault="00022EA6" w:rsidP="00FE4BAE">
      <w:pPr>
        <w:spacing w:after="0" w:line="240" w:lineRule="auto"/>
        <w:jc w:val="both"/>
        <w:rPr>
          <w:rFonts w:asciiTheme="minorHAnsi" w:hAnsiTheme="minorHAnsi" w:cstheme="minorHAnsi"/>
          <w:b/>
          <w:szCs w:val="20"/>
        </w:rPr>
      </w:pP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Data were analysed using Stata/SE 14.0 and Stata/SE 13.0, and all analyses were restricted to facilities that reported that they conducted deliveries. </w:t>
      </w:r>
    </w:p>
    <w:p w:rsidR="00022EA6" w:rsidRPr="009876EA" w:rsidRDefault="00022EA6" w:rsidP="00FE4BAE">
      <w:pPr>
        <w:spacing w:after="0" w:line="240" w:lineRule="auto"/>
        <w:jc w:val="both"/>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Service provision assessments</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To examine the distribution of facilities by EmOC and routine care capability, percentages were calculated using two different methods. Firstly, we used traditional survey weights so that we could see the </w:t>
      </w:r>
      <w:r w:rsidRPr="009876EA">
        <w:rPr>
          <w:rFonts w:asciiTheme="minorHAnsi" w:hAnsiTheme="minorHAnsi" w:cstheme="minorHAnsi"/>
          <w:b/>
          <w:szCs w:val="20"/>
        </w:rPr>
        <w:t>percentages of facilities</w:t>
      </w:r>
      <w:r w:rsidRPr="009876EA">
        <w:rPr>
          <w:rFonts w:asciiTheme="minorHAnsi" w:hAnsiTheme="minorHAnsi" w:cstheme="minorHAnsi"/>
          <w:szCs w:val="20"/>
        </w:rPr>
        <w:t xml:space="preserve"> falling into each capability category. We then weighted the data using both the traditional facility weights and information on the number of deliveries that occurred in the past 12 months (i.e. giving increased weight to facilities that conduct a high volume of deliveries). The latter method gives estimates of the </w:t>
      </w:r>
      <w:r w:rsidRPr="009876EA">
        <w:rPr>
          <w:rFonts w:asciiTheme="minorHAnsi" w:hAnsiTheme="minorHAnsi" w:cstheme="minorHAnsi"/>
          <w:b/>
          <w:szCs w:val="20"/>
        </w:rPr>
        <w:t>percentage of facility deliveries</w:t>
      </w:r>
      <w:r w:rsidRPr="009876EA">
        <w:rPr>
          <w:rFonts w:asciiTheme="minorHAnsi" w:hAnsiTheme="minorHAnsi" w:cstheme="minorHAnsi"/>
          <w:szCs w:val="20"/>
        </w:rPr>
        <w:t xml:space="preserve"> falling into each capability category. </w:t>
      </w:r>
    </w:p>
    <w:p w:rsidR="00022EA6" w:rsidRPr="009876EA" w:rsidRDefault="00022EA6" w:rsidP="00FE4BAE">
      <w:pPr>
        <w:spacing w:after="0" w:line="240" w:lineRule="auto"/>
        <w:jc w:val="both"/>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To examine the general facility readiness, we calculated the percentage of facilities that reported having each basic component as outlined in Table 1, stratified by the level of facility (hospital/health centre/dispensary). These percentages were calculated taking account of facility weighting.   </w:t>
      </w:r>
    </w:p>
    <w:p w:rsidR="00022EA6" w:rsidRPr="009876EA" w:rsidRDefault="00022EA6" w:rsidP="00FE4BAE">
      <w:pPr>
        <w:spacing w:after="0" w:line="240" w:lineRule="auto"/>
        <w:jc w:val="both"/>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b/>
          <w:szCs w:val="20"/>
        </w:rPr>
      </w:pPr>
      <w:proofErr w:type="spellStart"/>
      <w:r w:rsidRPr="009876EA">
        <w:rPr>
          <w:rFonts w:asciiTheme="minorHAnsi" w:hAnsiTheme="minorHAnsi" w:cstheme="minorHAnsi"/>
          <w:b/>
          <w:szCs w:val="20"/>
        </w:rPr>
        <w:t>EmONC</w:t>
      </w:r>
      <w:proofErr w:type="spellEnd"/>
      <w:r w:rsidRPr="009876EA">
        <w:rPr>
          <w:rFonts w:asciiTheme="minorHAnsi" w:hAnsiTheme="minorHAnsi" w:cstheme="minorHAnsi"/>
          <w:b/>
          <w:szCs w:val="20"/>
        </w:rPr>
        <w:t xml:space="preserve"> assessments</w:t>
      </w:r>
    </w:p>
    <w:p w:rsidR="00022EA6" w:rsidRPr="009876EA" w:rsidRDefault="00022EA6" w:rsidP="003616B8">
      <w:pPr>
        <w:spacing w:after="0" w:line="240" w:lineRule="auto"/>
        <w:jc w:val="both"/>
        <w:rPr>
          <w:rFonts w:asciiTheme="minorHAnsi" w:hAnsiTheme="minorHAnsi" w:cstheme="minorHAnsi"/>
          <w:szCs w:val="20"/>
        </w:rPr>
      </w:pPr>
      <w:r w:rsidRPr="009876EA">
        <w:rPr>
          <w:rFonts w:asciiTheme="minorHAnsi" w:hAnsiTheme="minorHAnsi" w:cstheme="minorHAnsi"/>
          <w:szCs w:val="20"/>
        </w:rPr>
        <w:t xml:space="preserve">All </w:t>
      </w:r>
      <w:proofErr w:type="spellStart"/>
      <w:r w:rsidRPr="009876EA">
        <w:rPr>
          <w:rFonts w:asciiTheme="minorHAnsi" w:hAnsiTheme="minorHAnsi" w:cstheme="minorHAnsi"/>
          <w:szCs w:val="20"/>
        </w:rPr>
        <w:t>EmONC</w:t>
      </w:r>
      <w:proofErr w:type="spellEnd"/>
      <w:r w:rsidRPr="009876EA">
        <w:rPr>
          <w:rFonts w:asciiTheme="minorHAnsi" w:hAnsiTheme="minorHAnsi" w:cstheme="minorHAnsi"/>
          <w:szCs w:val="20"/>
        </w:rPr>
        <w:t xml:space="preserve"> assessments included a census of facilities that provide </w:t>
      </w:r>
      <w:r>
        <w:rPr>
          <w:rFonts w:asciiTheme="minorHAnsi" w:hAnsiTheme="minorHAnsi" w:cstheme="minorHAnsi"/>
          <w:szCs w:val="20"/>
        </w:rPr>
        <w:t>childbirth</w:t>
      </w:r>
      <w:r w:rsidRPr="009876EA">
        <w:rPr>
          <w:rFonts w:asciiTheme="minorHAnsi" w:hAnsiTheme="minorHAnsi" w:cstheme="minorHAnsi"/>
          <w:szCs w:val="20"/>
        </w:rPr>
        <w:t xml:space="preserve"> services and therefore did not require survey weights. The Ghana </w:t>
      </w:r>
      <w:proofErr w:type="spellStart"/>
      <w:r w:rsidRPr="009876EA">
        <w:rPr>
          <w:rFonts w:asciiTheme="minorHAnsi" w:hAnsiTheme="minorHAnsi" w:cstheme="minorHAnsi"/>
          <w:szCs w:val="20"/>
        </w:rPr>
        <w:t>EmONC</w:t>
      </w:r>
      <w:proofErr w:type="spellEnd"/>
      <w:r w:rsidRPr="009876EA">
        <w:rPr>
          <w:rFonts w:asciiTheme="minorHAnsi" w:hAnsiTheme="minorHAnsi" w:cstheme="minorHAnsi"/>
          <w:szCs w:val="20"/>
        </w:rPr>
        <w:t xml:space="preserve"> assessment included a census of hospitals and a restricted census of lower level facilities (i.e. all lower-level facilities performing at least 5 deliveries per month in most regions, and 1 delivery per month in the three regions that make up the North Zone). Ethiopia and Mozambique </w:t>
      </w:r>
      <w:proofErr w:type="spellStart"/>
      <w:r w:rsidRPr="009876EA">
        <w:rPr>
          <w:rFonts w:asciiTheme="minorHAnsi" w:hAnsiTheme="minorHAnsi" w:cstheme="minorHAnsi"/>
          <w:szCs w:val="20"/>
        </w:rPr>
        <w:t>EmONC</w:t>
      </w:r>
      <w:proofErr w:type="spellEnd"/>
      <w:r w:rsidRPr="009876EA">
        <w:rPr>
          <w:rFonts w:asciiTheme="minorHAnsi" w:hAnsiTheme="minorHAnsi" w:cstheme="minorHAnsi"/>
          <w:szCs w:val="20"/>
        </w:rPr>
        <w:t xml:space="preserve"> assessments included a census of all health facilities that offered </w:t>
      </w:r>
      <w:r>
        <w:rPr>
          <w:rFonts w:asciiTheme="minorHAnsi" w:hAnsiTheme="minorHAnsi" w:cstheme="minorHAnsi"/>
          <w:szCs w:val="20"/>
        </w:rPr>
        <w:t>childbirth</w:t>
      </w:r>
      <w:r w:rsidRPr="009876EA">
        <w:rPr>
          <w:rFonts w:asciiTheme="minorHAnsi" w:hAnsiTheme="minorHAnsi" w:cstheme="minorHAnsi"/>
          <w:szCs w:val="20"/>
        </w:rPr>
        <w:t xml:space="preserve"> services. Analysis of these data followed the above methodology, though weighted only by number of deliveries to determine the percentage of facility deliveries falling into each capability category. </w:t>
      </w:r>
    </w:p>
    <w:p w:rsidR="00022EA6" w:rsidRPr="009876EA" w:rsidRDefault="00022EA6" w:rsidP="003616B8">
      <w:pPr>
        <w:spacing w:after="0" w:line="240" w:lineRule="auto"/>
        <w:jc w:val="both"/>
        <w:rPr>
          <w:rFonts w:asciiTheme="minorHAnsi" w:hAnsiTheme="minorHAnsi" w:cstheme="minorHAnsi"/>
          <w:szCs w:val="20"/>
        </w:rPr>
      </w:pPr>
    </w:p>
    <w:p w:rsidR="00022EA6" w:rsidRPr="009876EA" w:rsidRDefault="00022EA6" w:rsidP="003616B8">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China Health Facility Survey</w:t>
      </w:r>
    </w:p>
    <w:p w:rsidR="00022EA6" w:rsidRPr="009876EA" w:rsidRDefault="00022EA6" w:rsidP="003616B8">
      <w:pPr>
        <w:autoSpaceDE w:val="0"/>
        <w:autoSpaceDN w:val="0"/>
        <w:adjustRightInd w:val="0"/>
        <w:spacing w:after="0" w:line="240" w:lineRule="auto"/>
        <w:jc w:val="both"/>
        <w:rPr>
          <w:rFonts w:asciiTheme="minorHAnsi" w:eastAsia="HelveticaNeue-Roman" w:hAnsiTheme="minorHAnsi" w:cstheme="minorHAnsi"/>
          <w:szCs w:val="20"/>
          <w:lang w:val="en-US"/>
        </w:rPr>
      </w:pPr>
      <w:r w:rsidRPr="009876EA">
        <w:rPr>
          <w:rFonts w:asciiTheme="minorHAnsi" w:eastAsia="HelveticaNeue-Roman" w:hAnsiTheme="minorHAnsi" w:cstheme="minorHAnsi"/>
          <w:szCs w:val="20"/>
          <w:lang w:val="en-US"/>
        </w:rPr>
        <w:t xml:space="preserve">A nationally representative, cross-sectional facility-based survey of a sample of facilities offering EmOC in China was conducted in 2011. Analyses of these data were the same as those for the SPAs, using both facility and delivery weights. </w:t>
      </w:r>
    </w:p>
    <w:p w:rsidR="00022EA6" w:rsidRPr="009876EA" w:rsidRDefault="00022EA6">
      <w:pPr>
        <w:rPr>
          <w:rFonts w:asciiTheme="minorHAnsi" w:hAnsiTheme="minorHAnsi" w:cstheme="minorHAnsi"/>
          <w:szCs w:val="20"/>
        </w:rPr>
      </w:pPr>
    </w:p>
    <w:p w:rsidR="00022EA6" w:rsidRPr="00A0377E" w:rsidRDefault="00022EA6" w:rsidP="00FE4BAE">
      <w:pPr>
        <w:pStyle w:val="Heading2"/>
      </w:pPr>
      <w:bookmarkStart w:id="10" w:name="_Toc458091849"/>
      <w:r w:rsidRPr="00A0377E">
        <w:lastRenderedPageBreak/>
        <w:t>Telephone and motorized vehicle ownership</w:t>
      </w:r>
      <w:bookmarkEnd w:id="10"/>
      <w:r w:rsidRPr="00A0377E">
        <w:t xml:space="preserve"> </w:t>
      </w:r>
    </w:p>
    <w:p w:rsidR="00022EA6" w:rsidRPr="009876EA" w:rsidRDefault="00022EA6" w:rsidP="00FE4BAE">
      <w:pPr>
        <w:spacing w:after="0" w:line="240" w:lineRule="auto"/>
        <w:rPr>
          <w:rFonts w:asciiTheme="minorHAnsi" w:hAnsiTheme="minorHAnsi" w:cstheme="minorHAnsi"/>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Data source</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Kenya 2014 Demographic and Health Survey (DHS)</w:t>
      </w:r>
    </w:p>
    <w:p w:rsidR="00022EA6" w:rsidRPr="009876EA" w:rsidRDefault="00022EA6" w:rsidP="00FE4BAE">
      <w:pPr>
        <w:spacing w:after="0" w:line="240" w:lineRule="auto"/>
        <w:jc w:val="both"/>
        <w:rPr>
          <w:rFonts w:asciiTheme="minorHAnsi" w:hAnsiTheme="minorHAnsi" w:cstheme="minorHAnsi"/>
          <w:b/>
          <w:szCs w:val="20"/>
        </w:rPr>
      </w:pPr>
    </w:p>
    <w:p w:rsidR="00022EA6" w:rsidRPr="009876EA" w:rsidRDefault="00022EA6" w:rsidP="00FE4BAE">
      <w:pPr>
        <w:spacing w:after="0" w:line="240" w:lineRule="auto"/>
        <w:jc w:val="both"/>
        <w:rPr>
          <w:rFonts w:asciiTheme="minorHAnsi" w:hAnsiTheme="minorHAnsi" w:cstheme="minorHAnsi"/>
          <w:b/>
          <w:szCs w:val="20"/>
        </w:rPr>
      </w:pPr>
      <w:r w:rsidRPr="009876EA">
        <w:rPr>
          <w:rFonts w:asciiTheme="minorHAnsi" w:hAnsiTheme="minorHAnsi" w:cstheme="minorHAnsi"/>
          <w:b/>
          <w:szCs w:val="20"/>
        </w:rPr>
        <w:t xml:space="preserve">Data analysis </w:t>
      </w:r>
    </w:p>
    <w:p w:rsidR="00022EA6" w:rsidRPr="009876EA" w:rsidRDefault="00022EA6" w:rsidP="00FE4BAE">
      <w:pPr>
        <w:spacing w:after="0" w:line="240" w:lineRule="auto"/>
        <w:jc w:val="both"/>
        <w:rPr>
          <w:rFonts w:asciiTheme="minorHAnsi" w:hAnsiTheme="minorHAnsi" w:cstheme="minorHAnsi"/>
          <w:szCs w:val="20"/>
        </w:rPr>
      </w:pPr>
      <w:r w:rsidRPr="009876EA">
        <w:rPr>
          <w:rFonts w:asciiTheme="minorHAnsi" w:hAnsiTheme="minorHAnsi" w:cstheme="minorHAnsi"/>
          <w:szCs w:val="20"/>
        </w:rPr>
        <w:t>We calculated the proportions of households owning telephone (mobile or landline), and the proportions owning a motorized vehicle (car, motorcycle or truck) in each sampling cluster. Kenya DHS survey clusters are geo-located, so we were able to map each cluster. Proportion owning each item are shown in red. Sampling is proportional to population size, so dense and urban areas have more clusters sampled.</w:t>
      </w:r>
    </w:p>
    <w:p w:rsidR="00022EA6" w:rsidRPr="009876EA" w:rsidRDefault="00022EA6" w:rsidP="00FE4BAE">
      <w:pPr>
        <w:spacing w:after="0" w:line="240" w:lineRule="auto"/>
        <w:jc w:val="both"/>
        <w:rPr>
          <w:rFonts w:asciiTheme="minorHAnsi" w:hAnsiTheme="minorHAnsi" w:cstheme="minorHAnsi"/>
          <w:b/>
          <w:szCs w:val="20"/>
        </w:rPr>
      </w:pPr>
    </w:p>
    <w:p w:rsidR="00022EA6" w:rsidRDefault="00022EA6">
      <w:pPr>
        <w:rPr>
          <w:rFonts w:asciiTheme="minorHAnsi" w:eastAsiaTheme="majorEastAsia" w:hAnsiTheme="minorHAnsi" w:cstheme="minorHAnsi"/>
          <w:b/>
          <w:sz w:val="24"/>
          <w:szCs w:val="32"/>
          <w:u w:val="single"/>
        </w:rPr>
      </w:pPr>
      <w:r>
        <w:rPr>
          <w:rFonts w:asciiTheme="minorHAnsi" w:hAnsiTheme="minorHAnsi" w:cstheme="minorHAnsi"/>
        </w:rPr>
        <w:br w:type="page"/>
      </w:r>
    </w:p>
    <w:p w:rsidR="00022EA6" w:rsidRPr="00FE4BAE" w:rsidRDefault="00FE4BAE" w:rsidP="00FE4BAE">
      <w:pPr>
        <w:pStyle w:val="Heading1"/>
        <w:rPr>
          <w:rFonts w:cstheme="minorHAnsi"/>
          <w:b w:val="0"/>
          <w:sz w:val="20"/>
          <w:szCs w:val="20"/>
        </w:rPr>
      </w:pPr>
      <w:bookmarkStart w:id="11" w:name="_Toc458091850"/>
      <w:r w:rsidRPr="00FE4BAE">
        <w:lastRenderedPageBreak/>
        <w:t xml:space="preserve">Appendix 4: Trends in facility deliveries by country </w:t>
      </w:r>
      <w:r w:rsidR="00A44BFA">
        <w:t>&amp;</w:t>
      </w:r>
      <w:r w:rsidRPr="00FE4BAE">
        <w:t xml:space="preserve"> year (1990-2014), nationally representative </w:t>
      </w:r>
      <w:proofErr w:type="spellStart"/>
      <w:r w:rsidRPr="00FE4BAE">
        <w:t>DHS</w:t>
      </w:r>
      <w:proofErr w:type="spellEnd"/>
      <w:r w:rsidRPr="00FE4BAE">
        <w:t xml:space="preserve"> data</w:t>
      </w:r>
      <w:bookmarkEnd w:id="11"/>
      <w:r w:rsidRPr="009876EA">
        <w:rPr>
          <w:rFonts w:cstheme="minorHAnsi"/>
          <w:b w:val="0"/>
          <w:sz w:val="20"/>
          <w:szCs w:val="20"/>
        </w:rPr>
        <w:t xml:space="preserve"> </w:t>
      </w:r>
    </w:p>
    <w:p w:rsidR="00022EA6" w:rsidRPr="009876EA" w:rsidRDefault="00022EA6" w:rsidP="00FE4BAE">
      <w:r w:rsidRPr="009876EA">
        <w:rPr>
          <w:noProof/>
          <w:lang w:eastAsia="en-GB"/>
        </w:rPr>
        <w:drawing>
          <wp:inline distT="0" distB="0" distL="0" distR="0" wp14:anchorId="519FE450" wp14:editId="7E06AE32">
            <wp:extent cx="5029200" cy="7543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E4BAE" w:rsidRPr="00143509" w:rsidRDefault="00A44BFA" w:rsidP="00FE4BAE">
      <w:pPr>
        <w:rPr>
          <w:rFonts w:asciiTheme="minorHAnsi" w:hAnsiTheme="minorHAnsi" w:cstheme="minorHAnsi"/>
        </w:rPr>
      </w:pPr>
      <w:r w:rsidRPr="00143509">
        <w:rPr>
          <w:rFonts w:asciiTheme="minorHAnsi" w:hAnsiTheme="minorHAnsi" w:cstheme="minorHAnsi"/>
        </w:rPr>
        <w:t xml:space="preserve">Source: </w:t>
      </w:r>
      <w:proofErr w:type="spellStart"/>
      <w:r w:rsidRPr="00143509">
        <w:rPr>
          <w:rFonts w:asciiTheme="minorHAnsi" w:hAnsiTheme="minorHAnsi" w:cstheme="minorHAnsi"/>
        </w:rPr>
        <w:t>Statcompiler</w:t>
      </w:r>
      <w:proofErr w:type="spellEnd"/>
      <w:r w:rsidRPr="00143509">
        <w:rPr>
          <w:rFonts w:asciiTheme="minorHAnsi" w:hAnsiTheme="minorHAnsi" w:cstheme="minorHAnsi"/>
        </w:rPr>
        <w:t xml:space="preserve"> (data accessed May 2016)</w:t>
      </w:r>
      <w:r w:rsidR="00FE4BAE" w:rsidRPr="00143509">
        <w:rPr>
          <w:rFonts w:asciiTheme="minorHAnsi" w:hAnsiTheme="minorHAnsi" w:cstheme="minorHAnsi"/>
        </w:rPr>
        <w:t xml:space="preserve">  </w:t>
      </w:r>
    </w:p>
    <w:p w:rsidR="00022EA6" w:rsidRPr="009876EA" w:rsidRDefault="00022EA6" w:rsidP="00FE4BAE">
      <w:pPr>
        <w:rPr>
          <w:rFonts w:asciiTheme="minorHAnsi" w:hAnsiTheme="minorHAnsi" w:cstheme="minorHAnsi"/>
          <w:b/>
          <w:szCs w:val="20"/>
          <w:u w:val="single"/>
        </w:rPr>
      </w:pPr>
    </w:p>
    <w:p w:rsidR="00022EA6" w:rsidRPr="00A44BFA" w:rsidRDefault="00A44BFA" w:rsidP="00A44BFA">
      <w:pPr>
        <w:pStyle w:val="Heading1"/>
      </w:pPr>
      <w:bookmarkStart w:id="12" w:name="_Ref425161180"/>
      <w:bookmarkStart w:id="13" w:name="_Toc458091851"/>
      <w:r>
        <w:lastRenderedPageBreak/>
        <w:t>Appendix 5</w:t>
      </w:r>
      <w:r w:rsidRPr="009876EA">
        <w:t>: Distribution of a) facilities that conduct deliveries by annual number of deliveries, showing many facilities do &lt;100 deliveries per year and b) facility deliveries by annual number of deliveries showing small facilities do a sma</w:t>
      </w:r>
      <w:r>
        <w:t>ll proportion of all deliveries</w:t>
      </w:r>
      <w:bookmarkEnd w:id="13"/>
    </w:p>
    <w:p w:rsidR="00022EA6" w:rsidRPr="009876EA" w:rsidRDefault="00022EA6" w:rsidP="00FE4BAE">
      <w:pPr>
        <w:pStyle w:val="Caption"/>
        <w:rPr>
          <w:rFonts w:cstheme="minorHAnsi"/>
          <w:sz w:val="20"/>
          <w:szCs w:val="20"/>
        </w:rPr>
      </w:pPr>
      <w:r w:rsidRPr="009876EA">
        <w:rPr>
          <w:rFonts w:cstheme="minorHAnsi"/>
          <w:noProof/>
          <w:sz w:val="20"/>
          <w:szCs w:val="20"/>
          <w:lang w:eastAsia="en-GB"/>
        </w:rPr>
        <w:drawing>
          <wp:inline distT="0" distB="0" distL="0" distR="0" wp14:anchorId="167FFE37" wp14:editId="47484F5C">
            <wp:extent cx="6645910" cy="332295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actype_by_size_and_AMDD.wmf"/>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45910" cy="3322955"/>
                    </a:xfrm>
                    <a:prstGeom prst="rect">
                      <a:avLst/>
                    </a:prstGeom>
                  </pic:spPr>
                </pic:pic>
              </a:graphicData>
            </a:graphic>
          </wp:inline>
        </w:drawing>
      </w:r>
      <w:r w:rsidRPr="009876EA">
        <w:rPr>
          <w:rFonts w:cstheme="minorHAnsi"/>
          <w:noProof/>
          <w:sz w:val="20"/>
          <w:szCs w:val="20"/>
          <w:lang w:eastAsia="en-GB"/>
        </w:rPr>
        <w:drawing>
          <wp:inline distT="0" distB="0" distL="0" distR="0" wp14:anchorId="3C194BEC" wp14:editId="31826BDC">
            <wp:extent cx="6645910" cy="332295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type_by_size_del_and_AMDD.wmf"/>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45910" cy="3322955"/>
                    </a:xfrm>
                    <a:prstGeom prst="rect">
                      <a:avLst/>
                    </a:prstGeom>
                  </pic:spPr>
                </pic:pic>
              </a:graphicData>
            </a:graphic>
          </wp:inline>
        </w:drawing>
      </w:r>
    </w:p>
    <w:p w:rsidR="00022EA6" w:rsidRPr="009876EA" w:rsidRDefault="00022EA6" w:rsidP="00FE4BAE">
      <w:pPr>
        <w:rPr>
          <w:rFonts w:asciiTheme="minorHAnsi" w:hAnsiTheme="minorHAnsi" w:cstheme="minorHAnsi"/>
          <w:szCs w:val="20"/>
        </w:rPr>
      </w:pPr>
    </w:p>
    <w:p w:rsidR="00022EA6" w:rsidRPr="009876EA" w:rsidRDefault="00022EA6" w:rsidP="00FE4BAE">
      <w:pPr>
        <w:rPr>
          <w:rFonts w:asciiTheme="minorHAnsi" w:hAnsiTheme="minorHAnsi" w:cstheme="minorHAnsi"/>
          <w:szCs w:val="20"/>
        </w:rPr>
      </w:pPr>
    </w:p>
    <w:bookmarkEnd w:id="12"/>
    <w:p w:rsidR="00022EA6" w:rsidRPr="009876EA" w:rsidRDefault="00022EA6" w:rsidP="00FE4BAE">
      <w:pPr>
        <w:rPr>
          <w:rFonts w:asciiTheme="minorHAnsi" w:hAnsiTheme="minorHAnsi" w:cstheme="minorHAnsi"/>
          <w:szCs w:val="20"/>
        </w:rPr>
        <w:sectPr w:rsidR="00022EA6" w:rsidRPr="009876EA" w:rsidSect="00FE4BAE">
          <w:footerReference w:type="default" r:id="rId25"/>
          <w:pgSz w:w="11906" w:h="16838"/>
          <w:pgMar w:top="1440" w:right="1440" w:bottom="1440" w:left="1440" w:header="708" w:footer="708" w:gutter="0"/>
          <w:cols w:space="708"/>
          <w:docGrid w:linePitch="360"/>
        </w:sectPr>
      </w:pPr>
    </w:p>
    <w:p w:rsidR="00022EA6" w:rsidRDefault="00A44BFA" w:rsidP="00A44BFA">
      <w:pPr>
        <w:pStyle w:val="Heading1"/>
      </w:pPr>
      <w:bookmarkStart w:id="14" w:name="_Toc458091852"/>
      <w:r>
        <w:lastRenderedPageBreak/>
        <w:t>Appendix 6</w:t>
      </w:r>
      <w:r w:rsidRPr="009876EA">
        <w:t>: Pie charts showing percentage of households in each cluster in red owning telephone (left) and motorized vehicles (right), Kenya Demo</w:t>
      </w:r>
      <w:r>
        <w:t>graphic and Health Survey, 2014</w:t>
      </w:r>
      <w:bookmarkEnd w:id="14"/>
    </w:p>
    <w:p w:rsidR="00143509" w:rsidRPr="00143509" w:rsidRDefault="00143509" w:rsidP="00143509"/>
    <w:p w:rsidR="00022EA6" w:rsidRPr="009876EA" w:rsidRDefault="00022EA6" w:rsidP="00FE4BAE">
      <w:pPr>
        <w:rPr>
          <w:rFonts w:asciiTheme="minorHAnsi" w:hAnsiTheme="minorHAnsi" w:cstheme="minorHAnsi"/>
          <w:szCs w:val="20"/>
        </w:rPr>
      </w:pPr>
      <w:r w:rsidRPr="009876EA">
        <w:rPr>
          <w:rFonts w:asciiTheme="minorHAnsi" w:hAnsiTheme="minorHAnsi" w:cstheme="minorHAnsi"/>
          <w:noProof/>
          <w:szCs w:val="20"/>
          <w:lang w:eastAsia="en-GB"/>
        </w:rPr>
        <w:drawing>
          <wp:inline distT="0" distB="0" distL="0" distR="0" wp14:anchorId="7BC592D4" wp14:editId="659ECD7E">
            <wp:extent cx="5731510" cy="35515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nya.tif"/>
                    <pic:cNvPicPr/>
                  </pic:nvPicPr>
                  <pic:blipFill>
                    <a:blip r:embed="rId26">
                      <a:extLst>
                        <a:ext uri="{28A0092B-C50C-407E-A947-70E740481C1C}">
                          <a14:useLocalDpi xmlns:a14="http://schemas.microsoft.com/office/drawing/2010/main" val="0"/>
                        </a:ext>
                      </a:extLst>
                    </a:blip>
                    <a:stretch>
                      <a:fillRect/>
                    </a:stretch>
                  </pic:blipFill>
                  <pic:spPr>
                    <a:xfrm>
                      <a:off x="0" y="0"/>
                      <a:ext cx="5731510" cy="3551555"/>
                    </a:xfrm>
                    <a:prstGeom prst="rect">
                      <a:avLst/>
                    </a:prstGeom>
                  </pic:spPr>
                </pic:pic>
              </a:graphicData>
            </a:graphic>
          </wp:inline>
        </w:drawing>
      </w:r>
    </w:p>
    <w:p w:rsidR="00022EA6" w:rsidRPr="009876EA" w:rsidRDefault="00022EA6" w:rsidP="00FE4BAE">
      <w:pPr>
        <w:keepNext/>
        <w:rPr>
          <w:rFonts w:asciiTheme="minorHAnsi" w:hAnsiTheme="minorHAnsi" w:cstheme="minorHAnsi"/>
          <w:szCs w:val="20"/>
        </w:rPr>
      </w:pPr>
    </w:p>
    <w:p w:rsidR="00022EA6" w:rsidRDefault="00022EA6">
      <w:pPr>
        <w:rPr>
          <w:rFonts w:asciiTheme="minorHAnsi" w:hAnsiTheme="minorHAnsi" w:cstheme="minorHAnsi"/>
          <w:szCs w:val="20"/>
        </w:rPr>
      </w:pPr>
      <w:r>
        <w:rPr>
          <w:rFonts w:asciiTheme="minorHAnsi" w:hAnsiTheme="minorHAnsi" w:cstheme="minorHAnsi"/>
          <w:szCs w:val="20"/>
        </w:rPr>
        <w:br w:type="page"/>
      </w:r>
    </w:p>
    <w:p w:rsidR="00022EA6" w:rsidRPr="009876EA" w:rsidRDefault="00022EA6" w:rsidP="00FE4BAE">
      <w:pPr>
        <w:spacing w:after="0" w:line="240" w:lineRule="auto"/>
        <w:rPr>
          <w:rFonts w:asciiTheme="minorHAnsi" w:hAnsiTheme="minorHAnsi" w:cstheme="minorHAnsi"/>
          <w:szCs w:val="20"/>
        </w:rPr>
      </w:pPr>
    </w:p>
    <w:p w:rsidR="00022EA6" w:rsidRPr="009876EA" w:rsidRDefault="00022EA6" w:rsidP="00FE4BAE">
      <w:pPr>
        <w:spacing w:after="0" w:line="240" w:lineRule="auto"/>
        <w:rPr>
          <w:rFonts w:asciiTheme="minorHAnsi" w:hAnsiTheme="minorHAnsi" w:cstheme="minorHAnsi"/>
          <w:szCs w:val="20"/>
        </w:rPr>
      </w:pPr>
    </w:p>
    <w:p w:rsidR="00022EA6" w:rsidRPr="009876EA" w:rsidRDefault="00A44BFA" w:rsidP="00A44BFA">
      <w:pPr>
        <w:pStyle w:val="Heading1"/>
      </w:pPr>
      <w:bookmarkStart w:id="15" w:name="_Toc458091853"/>
      <w:r>
        <w:t>Appendix 8</w:t>
      </w:r>
      <w:r w:rsidRPr="009876EA">
        <w:t>: Estimated percentage of seriously injured patients trans</w:t>
      </w:r>
      <w:r>
        <w:t>ported by ambulance, by country</w:t>
      </w:r>
      <w:bookmarkEnd w:id="15"/>
    </w:p>
    <w:p w:rsidR="00022EA6" w:rsidRPr="009876EA" w:rsidRDefault="00022EA6" w:rsidP="00FE4BAE">
      <w:pPr>
        <w:keepNext/>
        <w:rPr>
          <w:rFonts w:asciiTheme="minorHAnsi" w:hAnsiTheme="minorHAnsi" w:cstheme="minorHAnsi"/>
          <w:szCs w:val="20"/>
        </w:rPr>
      </w:pPr>
      <w:r w:rsidRPr="009876EA">
        <w:rPr>
          <w:rFonts w:asciiTheme="minorHAnsi" w:hAnsiTheme="minorHAnsi" w:cstheme="minorHAnsi"/>
          <w:b/>
          <w:noProof/>
          <w:szCs w:val="20"/>
          <w:lang w:eastAsia="en-GB"/>
        </w:rPr>
        <w:drawing>
          <wp:inline distT="0" distB="0" distL="0" distR="0" wp14:anchorId="3B6E3AF9" wp14:editId="1196D408">
            <wp:extent cx="4398679" cy="29718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27">
                      <a:extLst>
                        <a:ext uri="{28A0092B-C50C-407E-A947-70E740481C1C}">
                          <a14:useLocalDpi xmlns:a14="http://schemas.microsoft.com/office/drawing/2010/main" val="0"/>
                        </a:ext>
                      </a:extLst>
                    </a:blip>
                    <a:stretch>
                      <a:fillRect/>
                    </a:stretch>
                  </pic:blipFill>
                  <pic:spPr>
                    <a:xfrm>
                      <a:off x="0" y="0"/>
                      <a:ext cx="4411343" cy="2980356"/>
                    </a:xfrm>
                    <a:prstGeom prst="rect">
                      <a:avLst/>
                    </a:prstGeom>
                  </pic:spPr>
                </pic:pic>
              </a:graphicData>
            </a:graphic>
          </wp:inline>
        </w:drawing>
      </w:r>
    </w:p>
    <w:p w:rsidR="00022EA6" w:rsidRDefault="00022EA6" w:rsidP="00FE4BAE">
      <w:pPr>
        <w:pStyle w:val="Caption"/>
        <w:rPr>
          <w:rFonts w:cstheme="minorHAnsi"/>
          <w:b w:val="0"/>
          <w:sz w:val="20"/>
          <w:szCs w:val="20"/>
        </w:rPr>
      </w:pPr>
      <w:r w:rsidRPr="009876EA">
        <w:rPr>
          <w:rFonts w:cstheme="minorHAnsi"/>
          <w:b w:val="0"/>
          <w:sz w:val="20"/>
          <w:szCs w:val="20"/>
        </w:rPr>
        <w:t>Source: WHO, “Post-crash response: Pre-hospital care by country” in Regional Health Observatory Data Repository (available at rho.emro.who.int/</w:t>
      </w:r>
      <w:proofErr w:type="spellStart"/>
      <w:r w:rsidRPr="009876EA">
        <w:rPr>
          <w:rFonts w:cstheme="minorHAnsi"/>
          <w:b w:val="0"/>
          <w:sz w:val="20"/>
          <w:szCs w:val="20"/>
        </w:rPr>
        <w:t>rhodata</w:t>
      </w:r>
      <w:proofErr w:type="spellEnd"/>
      <w:r w:rsidRPr="009876EA">
        <w:rPr>
          <w:rFonts w:cstheme="minorHAnsi"/>
          <w:b w:val="0"/>
          <w:sz w:val="20"/>
          <w:szCs w:val="20"/>
        </w:rPr>
        <w:t>/</w:t>
      </w:r>
      <w:proofErr w:type="spellStart"/>
      <w:r w:rsidRPr="009876EA">
        <w:rPr>
          <w:rFonts w:cstheme="minorHAnsi"/>
          <w:b w:val="0"/>
          <w:sz w:val="20"/>
          <w:szCs w:val="20"/>
        </w:rPr>
        <w:t>node.main</w:t>
      </w:r>
      <w:proofErr w:type="spellEnd"/>
      <w:r w:rsidRPr="009876EA">
        <w:rPr>
          <w:rFonts w:cstheme="minorHAnsi"/>
          <w:b w:val="0"/>
          <w:sz w:val="20"/>
          <w:szCs w:val="20"/>
        </w:rPr>
        <w:t xml:space="preserve">) </w:t>
      </w:r>
    </w:p>
    <w:p w:rsidR="00A44BFA" w:rsidRDefault="00A44BFA" w:rsidP="00A44BFA"/>
    <w:p w:rsidR="00A44BFA" w:rsidRDefault="00A44BFA">
      <w:pPr>
        <w:rPr>
          <w:rFonts w:cstheme="minorHAnsi"/>
          <w:szCs w:val="20"/>
        </w:rPr>
      </w:pPr>
      <w:r>
        <w:rPr>
          <w:rFonts w:cstheme="minorHAnsi"/>
          <w:szCs w:val="20"/>
        </w:rPr>
        <w:br w:type="page"/>
      </w:r>
    </w:p>
    <w:p w:rsidR="00A44BFA" w:rsidRPr="00A44BFA" w:rsidRDefault="00A44BFA" w:rsidP="00A44BFA">
      <w:pPr>
        <w:pStyle w:val="Heading1"/>
      </w:pPr>
      <w:bookmarkStart w:id="16" w:name="_Toc458091854"/>
      <w:r>
        <w:lastRenderedPageBreak/>
        <w:t>Appendix 9</w:t>
      </w:r>
      <w:r w:rsidRPr="009876EA">
        <w:t>: Existence of a universal access telepho</w:t>
      </w:r>
      <w:r>
        <w:t>ne number for pre-hospital care</w:t>
      </w:r>
      <w:bookmarkEnd w:id="16"/>
    </w:p>
    <w:p w:rsidR="00022EA6" w:rsidRPr="009876EA" w:rsidRDefault="00022EA6" w:rsidP="00FE4BAE">
      <w:pPr>
        <w:keepNext/>
        <w:rPr>
          <w:rFonts w:asciiTheme="minorHAnsi" w:hAnsiTheme="minorHAnsi" w:cstheme="minorHAnsi"/>
          <w:szCs w:val="20"/>
        </w:rPr>
      </w:pPr>
      <w:r w:rsidRPr="009876EA">
        <w:rPr>
          <w:rFonts w:asciiTheme="minorHAnsi" w:hAnsiTheme="minorHAnsi" w:cstheme="minorHAnsi"/>
          <w:noProof/>
          <w:szCs w:val="20"/>
          <w:lang w:eastAsia="en-GB"/>
        </w:rPr>
        <w:drawing>
          <wp:inline distT="0" distB="0" distL="0" distR="0" wp14:anchorId="3D053723" wp14:editId="3C3C3F35">
            <wp:extent cx="4398645" cy="2930806"/>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06121" cy="2935787"/>
                    </a:xfrm>
                    <a:prstGeom prst="rect">
                      <a:avLst/>
                    </a:prstGeom>
                  </pic:spPr>
                </pic:pic>
              </a:graphicData>
            </a:graphic>
          </wp:inline>
        </w:drawing>
      </w:r>
    </w:p>
    <w:p w:rsidR="00022EA6" w:rsidRPr="009876EA" w:rsidRDefault="00022EA6" w:rsidP="00FE4BAE">
      <w:pPr>
        <w:pStyle w:val="Caption"/>
        <w:rPr>
          <w:rFonts w:cstheme="minorHAnsi"/>
          <w:b w:val="0"/>
          <w:sz w:val="20"/>
          <w:szCs w:val="20"/>
        </w:rPr>
      </w:pPr>
      <w:r w:rsidRPr="009876EA">
        <w:rPr>
          <w:rFonts w:cstheme="minorHAnsi"/>
          <w:b w:val="0"/>
          <w:sz w:val="20"/>
          <w:szCs w:val="20"/>
        </w:rPr>
        <w:t>Source: WHO, “Post-crash response: Pre-hospital care by country” in Regional Health Observatory Data Repository (available at rho.emro.who.int/</w:t>
      </w:r>
      <w:proofErr w:type="spellStart"/>
      <w:r w:rsidRPr="009876EA">
        <w:rPr>
          <w:rFonts w:cstheme="minorHAnsi"/>
          <w:b w:val="0"/>
          <w:sz w:val="20"/>
          <w:szCs w:val="20"/>
        </w:rPr>
        <w:t>rhodata</w:t>
      </w:r>
      <w:proofErr w:type="spellEnd"/>
      <w:r w:rsidRPr="009876EA">
        <w:rPr>
          <w:rFonts w:cstheme="minorHAnsi"/>
          <w:b w:val="0"/>
          <w:sz w:val="20"/>
          <w:szCs w:val="20"/>
        </w:rPr>
        <w:t>/</w:t>
      </w:r>
      <w:proofErr w:type="spellStart"/>
      <w:r w:rsidRPr="009876EA">
        <w:rPr>
          <w:rFonts w:cstheme="minorHAnsi"/>
          <w:b w:val="0"/>
          <w:sz w:val="20"/>
          <w:szCs w:val="20"/>
        </w:rPr>
        <w:t>node.main</w:t>
      </w:r>
      <w:proofErr w:type="spellEnd"/>
      <w:r w:rsidRPr="009876EA">
        <w:rPr>
          <w:rFonts w:cstheme="minorHAnsi"/>
          <w:b w:val="0"/>
          <w:sz w:val="20"/>
          <w:szCs w:val="20"/>
        </w:rPr>
        <w:t>)</w:t>
      </w:r>
    </w:p>
    <w:p w:rsidR="00022EA6" w:rsidRPr="009876EA" w:rsidRDefault="00022EA6" w:rsidP="00FE4BAE">
      <w:pPr>
        <w:rPr>
          <w:rFonts w:asciiTheme="minorHAnsi" w:hAnsiTheme="minorHAnsi" w:cstheme="minorHAnsi"/>
          <w:szCs w:val="20"/>
        </w:rPr>
      </w:pPr>
    </w:p>
    <w:p w:rsidR="00022EA6" w:rsidRPr="009876EA" w:rsidRDefault="00022EA6" w:rsidP="00FE4BAE">
      <w:pPr>
        <w:rPr>
          <w:rFonts w:asciiTheme="minorHAnsi" w:hAnsiTheme="minorHAnsi" w:cstheme="minorHAnsi"/>
          <w:szCs w:val="20"/>
        </w:rPr>
      </w:pPr>
    </w:p>
    <w:p w:rsidR="00022EA6" w:rsidRDefault="00022EA6" w:rsidP="00FE4BAE">
      <w:pPr>
        <w:rPr>
          <w:rFonts w:asciiTheme="minorHAnsi" w:hAnsiTheme="minorHAnsi" w:cstheme="minorHAnsi"/>
          <w:b/>
          <w:szCs w:val="20"/>
        </w:rPr>
      </w:pPr>
    </w:p>
    <w:p w:rsidR="00A44BFA" w:rsidRDefault="00A44BFA">
      <w:pPr>
        <w:rPr>
          <w:rFonts w:asciiTheme="minorHAnsi" w:eastAsiaTheme="majorEastAsia" w:hAnsiTheme="minorHAnsi" w:cstheme="minorHAnsi"/>
          <w:b/>
          <w:sz w:val="24"/>
          <w:szCs w:val="32"/>
          <w:u w:val="single"/>
        </w:rPr>
      </w:pPr>
      <w:r>
        <w:rPr>
          <w:rFonts w:asciiTheme="minorHAnsi" w:hAnsiTheme="minorHAnsi" w:cstheme="minorHAnsi"/>
        </w:rPr>
        <w:br w:type="page"/>
      </w:r>
    </w:p>
    <w:p w:rsidR="00022EA6" w:rsidRPr="00A0377E" w:rsidRDefault="00022EA6" w:rsidP="00FE4BAE">
      <w:pPr>
        <w:pStyle w:val="Heading1"/>
        <w:rPr>
          <w:rFonts w:cstheme="minorHAnsi"/>
        </w:rPr>
      </w:pPr>
      <w:bookmarkStart w:id="17" w:name="_Toc458091855"/>
      <w:r>
        <w:rPr>
          <w:rFonts w:cstheme="minorHAnsi"/>
        </w:rPr>
        <w:lastRenderedPageBreak/>
        <w:t xml:space="preserve">References for </w:t>
      </w:r>
      <w:r w:rsidR="00143509">
        <w:rPr>
          <w:rFonts w:cstheme="minorHAnsi"/>
        </w:rPr>
        <w:t>appendices</w:t>
      </w:r>
      <w:bookmarkEnd w:id="17"/>
    </w:p>
    <w:p w:rsidR="00022EA6" w:rsidRPr="00143509" w:rsidRDefault="00022EA6" w:rsidP="00FE4BAE">
      <w:pPr>
        <w:rPr>
          <w:rFonts w:asciiTheme="minorHAnsi" w:hAnsiTheme="minorHAnsi" w:cstheme="minorHAnsi"/>
          <w:szCs w:val="20"/>
        </w:rPr>
      </w:pPr>
    </w:p>
    <w:p w:rsidR="00022EA6" w:rsidRPr="00143509" w:rsidRDefault="00022EA6" w:rsidP="00FE4BAE">
      <w:pPr>
        <w:pStyle w:val="EndNoteBibliography"/>
        <w:spacing w:after="0"/>
        <w:rPr>
          <w:rFonts w:asciiTheme="minorHAnsi" w:hAnsiTheme="minorHAnsi" w:cstheme="minorHAnsi"/>
          <w:szCs w:val="20"/>
        </w:rPr>
      </w:pPr>
      <w:bookmarkStart w:id="18" w:name="_ENREF_1"/>
      <w:r w:rsidRPr="00143509">
        <w:rPr>
          <w:rFonts w:asciiTheme="minorHAnsi" w:hAnsiTheme="minorHAnsi" w:cstheme="minorHAnsi"/>
          <w:szCs w:val="20"/>
        </w:rPr>
        <w:t>1.</w:t>
      </w:r>
      <w:r w:rsidRPr="00143509">
        <w:rPr>
          <w:rFonts w:asciiTheme="minorHAnsi" w:hAnsiTheme="minorHAnsi" w:cstheme="minorHAnsi"/>
          <w:szCs w:val="20"/>
        </w:rPr>
        <w:tab/>
        <w:t>UNICEF, WHO, UNFPA. Guidelines for monitoring the availability and use of obstetric services. New York, 1997.</w:t>
      </w:r>
      <w:bookmarkEnd w:id="18"/>
    </w:p>
    <w:p w:rsidR="00022EA6" w:rsidRPr="00143509" w:rsidRDefault="00022EA6" w:rsidP="00FE4BAE">
      <w:pPr>
        <w:pStyle w:val="EndNoteBibliography"/>
        <w:spacing w:after="0"/>
        <w:rPr>
          <w:rFonts w:asciiTheme="minorHAnsi" w:hAnsiTheme="minorHAnsi" w:cstheme="minorHAnsi"/>
          <w:szCs w:val="20"/>
        </w:rPr>
      </w:pPr>
      <w:bookmarkStart w:id="19" w:name="_ENREF_2"/>
      <w:r w:rsidRPr="00143509">
        <w:rPr>
          <w:rFonts w:asciiTheme="minorHAnsi" w:hAnsiTheme="minorHAnsi" w:cstheme="minorHAnsi"/>
          <w:szCs w:val="20"/>
        </w:rPr>
        <w:t>2.</w:t>
      </w:r>
      <w:r w:rsidRPr="00143509">
        <w:rPr>
          <w:rFonts w:asciiTheme="minorHAnsi" w:hAnsiTheme="minorHAnsi" w:cstheme="minorHAnsi"/>
          <w:szCs w:val="20"/>
        </w:rPr>
        <w:tab/>
        <w:t>Bailey P, Lobis S, Maine D, Fortney J. Monitoring emergency obstetric care: a handbook: World Health Organization; 2009.</w:t>
      </w:r>
      <w:bookmarkEnd w:id="19"/>
    </w:p>
    <w:p w:rsidR="00022EA6" w:rsidRPr="00143509" w:rsidRDefault="00022EA6" w:rsidP="00FE4BAE">
      <w:pPr>
        <w:pStyle w:val="EndNoteBibliography"/>
        <w:spacing w:after="0"/>
        <w:rPr>
          <w:rFonts w:asciiTheme="minorHAnsi" w:hAnsiTheme="minorHAnsi" w:cstheme="minorHAnsi"/>
          <w:szCs w:val="20"/>
        </w:rPr>
      </w:pPr>
      <w:bookmarkStart w:id="20" w:name="_ENREF_3"/>
      <w:r w:rsidRPr="00143509">
        <w:rPr>
          <w:rFonts w:asciiTheme="minorHAnsi" w:hAnsiTheme="minorHAnsi" w:cstheme="minorHAnsi"/>
          <w:szCs w:val="20"/>
        </w:rPr>
        <w:t>3.</w:t>
      </w:r>
      <w:r w:rsidRPr="00143509">
        <w:rPr>
          <w:rFonts w:asciiTheme="minorHAnsi" w:hAnsiTheme="minorHAnsi" w:cstheme="minorHAnsi"/>
          <w:szCs w:val="20"/>
        </w:rPr>
        <w:tab/>
        <w:t>World Health Organization. The World Health Report 2005: Make every mother and child count. World Health Organization: Geneva, 2005.</w:t>
      </w:r>
      <w:bookmarkEnd w:id="20"/>
    </w:p>
    <w:p w:rsidR="00022EA6" w:rsidRPr="00143509" w:rsidRDefault="00022EA6" w:rsidP="00FE4BAE">
      <w:pPr>
        <w:pStyle w:val="EndNoteBibliography"/>
        <w:spacing w:after="0"/>
        <w:rPr>
          <w:rFonts w:asciiTheme="minorHAnsi" w:hAnsiTheme="minorHAnsi" w:cstheme="minorHAnsi"/>
          <w:szCs w:val="20"/>
        </w:rPr>
      </w:pPr>
      <w:bookmarkStart w:id="21" w:name="_ENREF_4"/>
      <w:r w:rsidRPr="00143509">
        <w:rPr>
          <w:rFonts w:asciiTheme="minorHAnsi" w:hAnsiTheme="minorHAnsi" w:cstheme="minorHAnsi"/>
          <w:szCs w:val="20"/>
        </w:rPr>
        <w:t>4.</w:t>
      </w:r>
      <w:r w:rsidRPr="00143509">
        <w:rPr>
          <w:rFonts w:asciiTheme="minorHAnsi" w:hAnsiTheme="minorHAnsi" w:cstheme="minorHAnsi"/>
          <w:szCs w:val="20"/>
        </w:rPr>
        <w:tab/>
        <w:t xml:space="preserve">Gabrysch S, Zanger P, Seneviratne HR, Mbewe R, Campbell OM. Tracking progress towards safe motherhood: meeting the benchmark yet missing the goal? An appeal for better use of health-system output indicators with evidence from Zambia and Sri Lanka. </w:t>
      </w:r>
      <w:r w:rsidRPr="00143509">
        <w:rPr>
          <w:rFonts w:asciiTheme="minorHAnsi" w:hAnsiTheme="minorHAnsi" w:cstheme="minorHAnsi"/>
          <w:i/>
          <w:szCs w:val="20"/>
        </w:rPr>
        <w:t>Tropical medicine &amp; international health : TM &amp; IH</w:t>
      </w:r>
      <w:r w:rsidRPr="00143509">
        <w:rPr>
          <w:rFonts w:asciiTheme="minorHAnsi" w:hAnsiTheme="minorHAnsi" w:cstheme="minorHAnsi"/>
          <w:szCs w:val="20"/>
        </w:rPr>
        <w:t xml:space="preserve"> 2011; </w:t>
      </w:r>
      <w:r w:rsidRPr="00143509">
        <w:rPr>
          <w:rFonts w:asciiTheme="minorHAnsi" w:hAnsiTheme="minorHAnsi" w:cstheme="minorHAnsi"/>
          <w:b/>
          <w:szCs w:val="20"/>
        </w:rPr>
        <w:t>16</w:t>
      </w:r>
      <w:r w:rsidRPr="00143509">
        <w:rPr>
          <w:rFonts w:asciiTheme="minorHAnsi" w:hAnsiTheme="minorHAnsi" w:cstheme="minorHAnsi"/>
          <w:szCs w:val="20"/>
        </w:rPr>
        <w:t>(5): 627-39.</w:t>
      </w:r>
      <w:bookmarkEnd w:id="21"/>
    </w:p>
    <w:p w:rsidR="00022EA6" w:rsidRPr="00143509" w:rsidRDefault="00022EA6" w:rsidP="00FE4BAE">
      <w:pPr>
        <w:pStyle w:val="EndNoteBibliography"/>
        <w:spacing w:after="0"/>
        <w:rPr>
          <w:rFonts w:asciiTheme="minorHAnsi" w:hAnsiTheme="minorHAnsi" w:cstheme="minorHAnsi"/>
          <w:szCs w:val="20"/>
        </w:rPr>
      </w:pPr>
      <w:bookmarkStart w:id="22" w:name="_ENREF_5"/>
      <w:r w:rsidRPr="00143509">
        <w:rPr>
          <w:rFonts w:asciiTheme="minorHAnsi" w:hAnsiTheme="minorHAnsi" w:cstheme="minorHAnsi"/>
          <w:szCs w:val="20"/>
        </w:rPr>
        <w:t>5.</w:t>
      </w:r>
      <w:r w:rsidRPr="00143509">
        <w:rPr>
          <w:rFonts w:asciiTheme="minorHAnsi" w:hAnsiTheme="minorHAnsi" w:cstheme="minorHAnsi"/>
          <w:szCs w:val="20"/>
        </w:rPr>
        <w:tab/>
        <w:t xml:space="preserve">Collender G, Gabrysch S, Campbell OM. Reducing maternal mortality: better monitoring, indicators and benchmarks needed to improve emergency obstetric care. Research summary for policymakers. </w:t>
      </w:r>
      <w:r w:rsidRPr="00143509">
        <w:rPr>
          <w:rFonts w:asciiTheme="minorHAnsi" w:hAnsiTheme="minorHAnsi" w:cstheme="minorHAnsi"/>
          <w:i/>
          <w:szCs w:val="20"/>
        </w:rPr>
        <w:t>Tropical medicine &amp; international health : TM &amp; IH</w:t>
      </w:r>
      <w:r w:rsidRPr="00143509">
        <w:rPr>
          <w:rFonts w:asciiTheme="minorHAnsi" w:hAnsiTheme="minorHAnsi" w:cstheme="minorHAnsi"/>
          <w:szCs w:val="20"/>
        </w:rPr>
        <w:t xml:space="preserve"> 2012; </w:t>
      </w:r>
      <w:r w:rsidRPr="00143509">
        <w:rPr>
          <w:rFonts w:asciiTheme="minorHAnsi" w:hAnsiTheme="minorHAnsi" w:cstheme="minorHAnsi"/>
          <w:b/>
          <w:szCs w:val="20"/>
        </w:rPr>
        <w:t>17</w:t>
      </w:r>
      <w:r w:rsidRPr="00143509">
        <w:rPr>
          <w:rFonts w:asciiTheme="minorHAnsi" w:hAnsiTheme="minorHAnsi" w:cstheme="minorHAnsi"/>
          <w:szCs w:val="20"/>
        </w:rPr>
        <w:t>(6): 694-6.</w:t>
      </w:r>
      <w:bookmarkEnd w:id="22"/>
    </w:p>
    <w:p w:rsidR="00022EA6" w:rsidRPr="00143509" w:rsidRDefault="00022EA6" w:rsidP="00FE4BAE">
      <w:pPr>
        <w:pStyle w:val="EndNoteBibliography"/>
        <w:spacing w:after="0"/>
        <w:rPr>
          <w:rFonts w:asciiTheme="minorHAnsi" w:hAnsiTheme="minorHAnsi" w:cstheme="minorHAnsi"/>
          <w:szCs w:val="20"/>
        </w:rPr>
      </w:pPr>
      <w:bookmarkStart w:id="23" w:name="_ENREF_6"/>
      <w:r w:rsidRPr="00143509">
        <w:rPr>
          <w:rFonts w:asciiTheme="minorHAnsi" w:hAnsiTheme="minorHAnsi" w:cstheme="minorHAnsi"/>
          <w:szCs w:val="20"/>
        </w:rPr>
        <w:t>6.</w:t>
      </w:r>
      <w:r w:rsidRPr="00143509">
        <w:rPr>
          <w:rFonts w:asciiTheme="minorHAnsi" w:hAnsiTheme="minorHAnsi" w:cstheme="minorHAnsi"/>
          <w:szCs w:val="20"/>
        </w:rPr>
        <w:tab/>
        <w:t xml:space="preserve">Pattinson RC. Safety versus accessibility in maternal and perinatal care. </w:t>
      </w:r>
      <w:r w:rsidRPr="00143509">
        <w:rPr>
          <w:rFonts w:asciiTheme="minorHAnsi" w:hAnsiTheme="minorHAnsi" w:cstheme="minorHAnsi"/>
          <w:i/>
          <w:szCs w:val="20"/>
        </w:rPr>
        <w:t>SAMJ: South African Medical Journal</w:t>
      </w:r>
      <w:r w:rsidRPr="00143509">
        <w:rPr>
          <w:rFonts w:asciiTheme="minorHAnsi" w:hAnsiTheme="minorHAnsi" w:cstheme="minorHAnsi"/>
          <w:szCs w:val="20"/>
        </w:rPr>
        <w:t xml:space="preserve"> 2015; </w:t>
      </w:r>
      <w:r w:rsidRPr="00143509">
        <w:rPr>
          <w:rFonts w:asciiTheme="minorHAnsi" w:hAnsiTheme="minorHAnsi" w:cstheme="minorHAnsi"/>
          <w:b/>
          <w:szCs w:val="20"/>
        </w:rPr>
        <w:t>105</w:t>
      </w:r>
      <w:r w:rsidRPr="00143509">
        <w:rPr>
          <w:rFonts w:asciiTheme="minorHAnsi" w:hAnsiTheme="minorHAnsi" w:cstheme="minorHAnsi"/>
          <w:szCs w:val="20"/>
        </w:rPr>
        <w:t>: 261-5.</w:t>
      </w:r>
      <w:bookmarkEnd w:id="23"/>
    </w:p>
    <w:p w:rsidR="00022EA6" w:rsidRPr="00143509" w:rsidRDefault="00022EA6" w:rsidP="00FE4BAE">
      <w:pPr>
        <w:pStyle w:val="EndNoteBibliography"/>
        <w:spacing w:after="0"/>
        <w:rPr>
          <w:rFonts w:asciiTheme="minorHAnsi" w:hAnsiTheme="minorHAnsi" w:cstheme="minorHAnsi"/>
          <w:szCs w:val="20"/>
        </w:rPr>
      </w:pPr>
      <w:bookmarkStart w:id="24" w:name="_ENREF_7"/>
      <w:r w:rsidRPr="00143509">
        <w:rPr>
          <w:rFonts w:asciiTheme="minorHAnsi" w:hAnsiTheme="minorHAnsi" w:cstheme="minorHAnsi"/>
          <w:szCs w:val="20"/>
        </w:rPr>
        <w:t>7.</w:t>
      </w:r>
      <w:r w:rsidRPr="00143509">
        <w:rPr>
          <w:rFonts w:asciiTheme="minorHAnsi" w:hAnsiTheme="minorHAnsi" w:cstheme="minorHAnsi"/>
          <w:szCs w:val="20"/>
        </w:rPr>
        <w:tab/>
        <w:t>World Health Organization. WHO recommendations on postnatal care of the mother and newborn. World Health Organization: Geneva, 2013.</w:t>
      </w:r>
      <w:bookmarkEnd w:id="24"/>
    </w:p>
    <w:p w:rsidR="00022EA6" w:rsidRPr="00143509" w:rsidRDefault="00022EA6" w:rsidP="00FE4BAE">
      <w:pPr>
        <w:pStyle w:val="EndNoteBibliography"/>
        <w:spacing w:after="0"/>
        <w:rPr>
          <w:rFonts w:asciiTheme="minorHAnsi" w:hAnsiTheme="minorHAnsi" w:cstheme="minorHAnsi"/>
          <w:szCs w:val="20"/>
        </w:rPr>
      </w:pPr>
      <w:bookmarkStart w:id="25" w:name="_ENREF_8"/>
      <w:r w:rsidRPr="00143509">
        <w:rPr>
          <w:rFonts w:asciiTheme="minorHAnsi" w:hAnsiTheme="minorHAnsi" w:cstheme="minorHAnsi"/>
          <w:szCs w:val="20"/>
        </w:rPr>
        <w:t>8.</w:t>
      </w:r>
      <w:r w:rsidRPr="00143509">
        <w:rPr>
          <w:rFonts w:asciiTheme="minorHAnsi" w:hAnsiTheme="minorHAnsi" w:cstheme="minorHAnsi"/>
          <w:szCs w:val="20"/>
        </w:rPr>
        <w:tab/>
        <w:t xml:space="preserve">Campbell OM, Cegolon L, Macleod D, Benova L. A cross-sectional description of length-of-stay after childbirth in 92 countries and an analysis of its associated factors in 30 nationally-representative surveys in low- and middle-income countries. </w:t>
      </w:r>
      <w:r w:rsidRPr="00143509">
        <w:rPr>
          <w:rFonts w:asciiTheme="minorHAnsi" w:hAnsiTheme="minorHAnsi" w:cstheme="minorHAnsi"/>
          <w:i/>
          <w:szCs w:val="20"/>
        </w:rPr>
        <w:t>PLoS medicine</w:t>
      </w:r>
      <w:r w:rsidRPr="00143509">
        <w:rPr>
          <w:rFonts w:asciiTheme="minorHAnsi" w:hAnsiTheme="minorHAnsi" w:cstheme="minorHAnsi"/>
          <w:szCs w:val="20"/>
        </w:rPr>
        <w:t xml:space="preserve"> Accepted.</w:t>
      </w:r>
      <w:bookmarkEnd w:id="25"/>
    </w:p>
    <w:p w:rsidR="00022EA6" w:rsidRPr="00143509" w:rsidRDefault="00022EA6" w:rsidP="00FE4BAE">
      <w:pPr>
        <w:pStyle w:val="EndNoteBibliography"/>
        <w:spacing w:after="0"/>
        <w:rPr>
          <w:rFonts w:asciiTheme="minorHAnsi" w:hAnsiTheme="minorHAnsi" w:cstheme="minorHAnsi"/>
          <w:szCs w:val="20"/>
        </w:rPr>
      </w:pPr>
      <w:bookmarkStart w:id="26" w:name="_ENREF_9"/>
      <w:r w:rsidRPr="00143509">
        <w:rPr>
          <w:rFonts w:asciiTheme="minorHAnsi" w:hAnsiTheme="minorHAnsi" w:cstheme="minorHAnsi"/>
          <w:szCs w:val="20"/>
        </w:rPr>
        <w:t>9.</w:t>
      </w:r>
      <w:r w:rsidRPr="00143509">
        <w:rPr>
          <w:rFonts w:asciiTheme="minorHAnsi" w:hAnsiTheme="minorHAnsi" w:cstheme="minorHAnsi"/>
          <w:szCs w:val="20"/>
        </w:rPr>
        <w:tab/>
        <w:t>United Nations Population Fund. The State of the World's Midwifery 2011: Delivering Health, Saving Lives, 2011.</w:t>
      </w:r>
      <w:bookmarkEnd w:id="26"/>
    </w:p>
    <w:p w:rsidR="00022EA6" w:rsidRPr="00143509" w:rsidRDefault="00022EA6" w:rsidP="00FE4BAE">
      <w:pPr>
        <w:pStyle w:val="EndNoteBibliography"/>
        <w:spacing w:after="0"/>
        <w:rPr>
          <w:rFonts w:asciiTheme="minorHAnsi" w:hAnsiTheme="minorHAnsi" w:cstheme="minorHAnsi"/>
          <w:szCs w:val="20"/>
        </w:rPr>
      </w:pPr>
      <w:bookmarkStart w:id="27" w:name="_ENREF_10"/>
      <w:r w:rsidRPr="00143509">
        <w:rPr>
          <w:rFonts w:asciiTheme="minorHAnsi" w:hAnsiTheme="minorHAnsi" w:cstheme="minorHAnsi"/>
          <w:szCs w:val="20"/>
        </w:rPr>
        <w:t>10.</w:t>
      </w:r>
      <w:r w:rsidRPr="00143509">
        <w:rPr>
          <w:rFonts w:asciiTheme="minorHAnsi" w:hAnsiTheme="minorHAnsi" w:cstheme="minorHAnsi"/>
          <w:szCs w:val="20"/>
        </w:rPr>
        <w:tab/>
        <w:t xml:space="preserve">Ball J, Bennett B, Washbrook M, Webster F. Further issues in deciding staffing needs. </w:t>
      </w:r>
      <w:r w:rsidRPr="00143509">
        <w:rPr>
          <w:rFonts w:asciiTheme="minorHAnsi" w:hAnsiTheme="minorHAnsi" w:cstheme="minorHAnsi"/>
          <w:i/>
          <w:szCs w:val="20"/>
        </w:rPr>
        <w:t>British Journal of Midwifery</w:t>
      </w:r>
      <w:r w:rsidRPr="00143509">
        <w:rPr>
          <w:rFonts w:asciiTheme="minorHAnsi" w:hAnsiTheme="minorHAnsi" w:cstheme="minorHAnsi"/>
          <w:szCs w:val="20"/>
        </w:rPr>
        <w:t xml:space="preserve"> 2003; </w:t>
      </w:r>
      <w:r w:rsidRPr="00143509">
        <w:rPr>
          <w:rFonts w:asciiTheme="minorHAnsi" w:hAnsiTheme="minorHAnsi" w:cstheme="minorHAnsi"/>
          <w:b/>
          <w:szCs w:val="20"/>
        </w:rPr>
        <w:t>11</w:t>
      </w:r>
      <w:r w:rsidRPr="00143509">
        <w:rPr>
          <w:rFonts w:asciiTheme="minorHAnsi" w:hAnsiTheme="minorHAnsi" w:cstheme="minorHAnsi"/>
          <w:szCs w:val="20"/>
        </w:rPr>
        <w:t>(7): 416-9.</w:t>
      </w:r>
      <w:bookmarkEnd w:id="27"/>
    </w:p>
    <w:p w:rsidR="00022EA6" w:rsidRPr="00143509" w:rsidRDefault="00022EA6" w:rsidP="00FE4BAE">
      <w:pPr>
        <w:pStyle w:val="EndNoteBibliography"/>
        <w:spacing w:after="0"/>
        <w:rPr>
          <w:rFonts w:asciiTheme="minorHAnsi" w:hAnsiTheme="minorHAnsi" w:cstheme="minorHAnsi"/>
          <w:szCs w:val="20"/>
        </w:rPr>
      </w:pPr>
      <w:bookmarkStart w:id="28" w:name="_ENREF_11"/>
      <w:r w:rsidRPr="00143509">
        <w:rPr>
          <w:rFonts w:asciiTheme="minorHAnsi" w:hAnsiTheme="minorHAnsi" w:cstheme="minorHAnsi"/>
          <w:szCs w:val="20"/>
        </w:rPr>
        <w:t>11.</w:t>
      </w:r>
      <w:r w:rsidRPr="00143509">
        <w:rPr>
          <w:rFonts w:asciiTheme="minorHAnsi" w:hAnsiTheme="minorHAnsi" w:cstheme="minorHAnsi"/>
          <w:szCs w:val="20"/>
        </w:rPr>
        <w:tab/>
        <w:t>Safer Childbirth. Minimum standards for the organisation and delivery of care in labour. Joint Royal Colleges Report 2007. London: RCOG Press; 2007.</w:t>
      </w:r>
      <w:bookmarkEnd w:id="28"/>
    </w:p>
    <w:p w:rsidR="00022EA6" w:rsidRPr="00143509" w:rsidRDefault="00022EA6" w:rsidP="00FE4BAE">
      <w:pPr>
        <w:pStyle w:val="EndNoteBibliography"/>
        <w:spacing w:after="0"/>
        <w:rPr>
          <w:rFonts w:asciiTheme="minorHAnsi" w:hAnsiTheme="minorHAnsi" w:cstheme="minorHAnsi"/>
          <w:szCs w:val="20"/>
        </w:rPr>
      </w:pPr>
      <w:bookmarkStart w:id="29" w:name="_ENREF_12"/>
      <w:r w:rsidRPr="00143509">
        <w:rPr>
          <w:rFonts w:asciiTheme="minorHAnsi" w:hAnsiTheme="minorHAnsi" w:cstheme="minorHAnsi"/>
          <w:szCs w:val="20"/>
        </w:rPr>
        <w:t>12.</w:t>
      </w:r>
      <w:r w:rsidRPr="00143509">
        <w:rPr>
          <w:rFonts w:asciiTheme="minorHAnsi" w:hAnsiTheme="minorHAnsi" w:cstheme="minorHAnsi"/>
          <w:szCs w:val="20"/>
        </w:rPr>
        <w:tab/>
        <w:t>World Health Organization. The world health report: 2006: working together for health. 2006.</w:t>
      </w:r>
      <w:bookmarkEnd w:id="29"/>
    </w:p>
    <w:p w:rsidR="00022EA6" w:rsidRPr="00143509" w:rsidRDefault="00022EA6" w:rsidP="00FE4BAE">
      <w:pPr>
        <w:pStyle w:val="EndNoteBibliography"/>
        <w:spacing w:after="0"/>
        <w:rPr>
          <w:rFonts w:asciiTheme="minorHAnsi" w:hAnsiTheme="minorHAnsi" w:cstheme="minorHAnsi"/>
          <w:szCs w:val="20"/>
        </w:rPr>
      </w:pPr>
      <w:bookmarkStart w:id="30" w:name="_ENREF_13"/>
      <w:r w:rsidRPr="00143509">
        <w:rPr>
          <w:rFonts w:asciiTheme="minorHAnsi" w:hAnsiTheme="minorHAnsi" w:cstheme="minorHAnsi"/>
          <w:szCs w:val="20"/>
        </w:rPr>
        <w:t>13.</w:t>
      </w:r>
      <w:r w:rsidRPr="00143509">
        <w:rPr>
          <w:rFonts w:asciiTheme="minorHAnsi" w:hAnsiTheme="minorHAnsi" w:cstheme="minorHAnsi"/>
          <w:szCs w:val="20"/>
        </w:rPr>
        <w:tab/>
        <w:t>Global Health Workforce Alliance W. A universal truth: no health without a workforce. World Health Organization Geneva; 2013.</w:t>
      </w:r>
      <w:bookmarkEnd w:id="30"/>
    </w:p>
    <w:p w:rsidR="00022EA6" w:rsidRPr="00143509" w:rsidRDefault="00022EA6" w:rsidP="00FE4BAE">
      <w:pPr>
        <w:pStyle w:val="EndNoteBibliography"/>
        <w:spacing w:after="0"/>
        <w:rPr>
          <w:rFonts w:asciiTheme="minorHAnsi" w:hAnsiTheme="minorHAnsi" w:cstheme="minorHAnsi"/>
          <w:szCs w:val="20"/>
        </w:rPr>
      </w:pPr>
      <w:bookmarkStart w:id="31" w:name="_ENREF_14"/>
      <w:r w:rsidRPr="00143509">
        <w:rPr>
          <w:rFonts w:asciiTheme="minorHAnsi" w:hAnsiTheme="minorHAnsi" w:cstheme="minorHAnsi"/>
          <w:szCs w:val="20"/>
        </w:rPr>
        <w:t>14.</w:t>
      </w:r>
      <w:r w:rsidRPr="00143509">
        <w:rPr>
          <w:rFonts w:asciiTheme="minorHAnsi" w:hAnsiTheme="minorHAnsi" w:cstheme="minorHAnsi"/>
          <w:szCs w:val="20"/>
        </w:rPr>
        <w:tab/>
        <w:t xml:space="preserve">Bustreo F, Say L, Koblinsky M, Pullum TW, Temmerman M, Pablos-Méndez A. Ending preventable maternal deaths: the time is now. </w:t>
      </w:r>
      <w:r w:rsidRPr="00143509">
        <w:rPr>
          <w:rFonts w:asciiTheme="minorHAnsi" w:hAnsiTheme="minorHAnsi" w:cstheme="minorHAnsi"/>
          <w:i/>
          <w:szCs w:val="20"/>
        </w:rPr>
        <w:t>The Lancet Global Health</w:t>
      </w:r>
      <w:r w:rsidRPr="00143509">
        <w:rPr>
          <w:rFonts w:asciiTheme="minorHAnsi" w:hAnsiTheme="minorHAnsi" w:cstheme="minorHAnsi"/>
          <w:szCs w:val="20"/>
        </w:rPr>
        <w:t xml:space="preserve"> 2013; </w:t>
      </w:r>
      <w:r w:rsidRPr="00143509">
        <w:rPr>
          <w:rFonts w:asciiTheme="minorHAnsi" w:hAnsiTheme="minorHAnsi" w:cstheme="minorHAnsi"/>
          <w:b/>
          <w:szCs w:val="20"/>
        </w:rPr>
        <w:t>1</w:t>
      </w:r>
      <w:r w:rsidRPr="00143509">
        <w:rPr>
          <w:rFonts w:asciiTheme="minorHAnsi" w:hAnsiTheme="minorHAnsi" w:cstheme="minorHAnsi"/>
          <w:szCs w:val="20"/>
        </w:rPr>
        <w:t>(4): e176-e7.</w:t>
      </w:r>
      <w:bookmarkEnd w:id="31"/>
    </w:p>
    <w:p w:rsidR="00022EA6" w:rsidRPr="00143509" w:rsidRDefault="00022EA6" w:rsidP="00FE4BAE">
      <w:pPr>
        <w:pStyle w:val="EndNoteBibliography"/>
        <w:spacing w:after="0"/>
        <w:rPr>
          <w:rFonts w:asciiTheme="minorHAnsi" w:hAnsiTheme="minorHAnsi" w:cstheme="minorHAnsi"/>
          <w:szCs w:val="20"/>
        </w:rPr>
      </w:pPr>
      <w:bookmarkStart w:id="32" w:name="_ENREF_15"/>
      <w:r w:rsidRPr="00143509">
        <w:rPr>
          <w:rFonts w:asciiTheme="minorHAnsi" w:hAnsiTheme="minorHAnsi" w:cstheme="minorHAnsi"/>
          <w:szCs w:val="20"/>
        </w:rPr>
        <w:t>15.</w:t>
      </w:r>
      <w:r w:rsidRPr="00143509">
        <w:rPr>
          <w:rFonts w:asciiTheme="minorHAnsi" w:hAnsiTheme="minorHAnsi" w:cstheme="minorHAnsi"/>
          <w:szCs w:val="20"/>
        </w:rPr>
        <w:tab/>
        <w:t xml:space="preserve">Meara JG, Leather AJ, Hagander L, et al. Global Surgery 2030: evidence and solutions for achieving health, welfare, and economic development. </w:t>
      </w:r>
      <w:r w:rsidRPr="00143509">
        <w:rPr>
          <w:rFonts w:asciiTheme="minorHAnsi" w:hAnsiTheme="minorHAnsi" w:cstheme="minorHAnsi"/>
          <w:i/>
          <w:szCs w:val="20"/>
        </w:rPr>
        <w:t>International journal of obstetric anesthesia</w:t>
      </w:r>
      <w:r w:rsidRPr="00143509">
        <w:rPr>
          <w:rFonts w:asciiTheme="minorHAnsi" w:hAnsiTheme="minorHAnsi" w:cstheme="minorHAnsi"/>
          <w:szCs w:val="20"/>
        </w:rPr>
        <w:t xml:space="preserve"> 2015.</w:t>
      </w:r>
      <w:bookmarkEnd w:id="32"/>
    </w:p>
    <w:p w:rsidR="00022EA6" w:rsidRPr="00143509" w:rsidRDefault="00022EA6" w:rsidP="00FE4BAE">
      <w:pPr>
        <w:pStyle w:val="EndNoteBibliography"/>
        <w:spacing w:after="0"/>
        <w:rPr>
          <w:rFonts w:asciiTheme="minorHAnsi" w:hAnsiTheme="minorHAnsi" w:cstheme="minorHAnsi"/>
          <w:szCs w:val="20"/>
        </w:rPr>
      </w:pPr>
      <w:bookmarkStart w:id="33" w:name="_ENREF_16"/>
      <w:r w:rsidRPr="00143509">
        <w:rPr>
          <w:rFonts w:asciiTheme="minorHAnsi" w:hAnsiTheme="minorHAnsi" w:cstheme="minorHAnsi"/>
          <w:szCs w:val="20"/>
        </w:rPr>
        <w:t>16.</w:t>
      </w:r>
      <w:r w:rsidRPr="00143509">
        <w:rPr>
          <w:rFonts w:asciiTheme="minorHAnsi" w:hAnsiTheme="minorHAnsi" w:cstheme="minorHAnsi"/>
          <w:szCs w:val="20"/>
        </w:rPr>
        <w:tab/>
        <w:t xml:space="preserve">Bailey PE, Keyes EB, Parker C, Abdullah M, Kebede H, Freedman L. Using a GIS to model interventions to strengthen the emergency referral system for maternal and newborn health in Ethiopia. </w:t>
      </w:r>
      <w:r w:rsidRPr="00143509">
        <w:rPr>
          <w:rFonts w:asciiTheme="minorHAnsi" w:hAnsiTheme="minorHAnsi" w:cstheme="minorHAnsi"/>
          <w:i/>
          <w:szCs w:val="20"/>
        </w:rPr>
        <w:t>International journal of gynaecology and obstetrics: the official organ of the International Federation of Gynaecology and Obstetrics</w:t>
      </w:r>
      <w:r w:rsidRPr="00143509">
        <w:rPr>
          <w:rFonts w:asciiTheme="minorHAnsi" w:hAnsiTheme="minorHAnsi" w:cstheme="minorHAnsi"/>
          <w:szCs w:val="20"/>
        </w:rPr>
        <w:t xml:space="preserve"> 2011; </w:t>
      </w:r>
      <w:r w:rsidRPr="00143509">
        <w:rPr>
          <w:rFonts w:asciiTheme="minorHAnsi" w:hAnsiTheme="minorHAnsi" w:cstheme="minorHAnsi"/>
          <w:b/>
          <w:szCs w:val="20"/>
        </w:rPr>
        <w:t>115</w:t>
      </w:r>
      <w:r w:rsidRPr="00143509">
        <w:rPr>
          <w:rFonts w:asciiTheme="minorHAnsi" w:hAnsiTheme="minorHAnsi" w:cstheme="minorHAnsi"/>
          <w:szCs w:val="20"/>
        </w:rPr>
        <w:t>(3): 300-9.</w:t>
      </w:r>
      <w:bookmarkEnd w:id="33"/>
    </w:p>
    <w:p w:rsidR="00022EA6" w:rsidRPr="00143509" w:rsidRDefault="00022EA6" w:rsidP="00FE4BAE">
      <w:pPr>
        <w:pStyle w:val="EndNoteBibliography"/>
        <w:spacing w:after="0"/>
        <w:rPr>
          <w:rFonts w:asciiTheme="minorHAnsi" w:hAnsiTheme="minorHAnsi" w:cstheme="minorHAnsi"/>
          <w:szCs w:val="20"/>
        </w:rPr>
      </w:pPr>
      <w:bookmarkStart w:id="34" w:name="_ENREF_17"/>
      <w:r w:rsidRPr="00143509">
        <w:rPr>
          <w:rFonts w:asciiTheme="minorHAnsi" w:hAnsiTheme="minorHAnsi" w:cstheme="minorHAnsi"/>
          <w:szCs w:val="20"/>
        </w:rPr>
        <w:t>17.</w:t>
      </w:r>
      <w:r w:rsidRPr="00143509">
        <w:rPr>
          <w:rFonts w:asciiTheme="minorHAnsi" w:hAnsiTheme="minorHAnsi" w:cstheme="minorHAnsi"/>
          <w:szCs w:val="20"/>
        </w:rPr>
        <w:tab/>
        <w:t xml:space="preserve">Gething PW, Johnson FA, Frempong-Ainguah F, et al. Geographical access to care at birth in Ghana: a barrier to safe motherhood. </w:t>
      </w:r>
      <w:r w:rsidRPr="00143509">
        <w:rPr>
          <w:rFonts w:asciiTheme="minorHAnsi" w:hAnsiTheme="minorHAnsi" w:cstheme="minorHAnsi"/>
          <w:i/>
          <w:szCs w:val="20"/>
        </w:rPr>
        <w:t>BMC Public Health</w:t>
      </w:r>
      <w:r w:rsidRPr="00143509">
        <w:rPr>
          <w:rFonts w:asciiTheme="minorHAnsi" w:hAnsiTheme="minorHAnsi" w:cstheme="minorHAnsi"/>
          <w:szCs w:val="20"/>
        </w:rPr>
        <w:t xml:space="preserve"> 2012; </w:t>
      </w:r>
      <w:r w:rsidRPr="00143509">
        <w:rPr>
          <w:rFonts w:asciiTheme="minorHAnsi" w:hAnsiTheme="minorHAnsi" w:cstheme="minorHAnsi"/>
          <w:b/>
          <w:szCs w:val="20"/>
        </w:rPr>
        <w:t>12</w:t>
      </w:r>
      <w:r w:rsidRPr="00143509">
        <w:rPr>
          <w:rFonts w:asciiTheme="minorHAnsi" w:hAnsiTheme="minorHAnsi" w:cstheme="minorHAnsi"/>
          <w:szCs w:val="20"/>
        </w:rPr>
        <w:t>(1): 991.</w:t>
      </w:r>
      <w:bookmarkEnd w:id="34"/>
    </w:p>
    <w:p w:rsidR="00022EA6" w:rsidRPr="00143509" w:rsidRDefault="00022EA6" w:rsidP="00FE4BAE">
      <w:pPr>
        <w:pStyle w:val="EndNoteBibliography"/>
        <w:spacing w:after="0"/>
        <w:rPr>
          <w:rFonts w:asciiTheme="minorHAnsi" w:hAnsiTheme="minorHAnsi" w:cstheme="minorHAnsi"/>
          <w:szCs w:val="20"/>
        </w:rPr>
      </w:pPr>
      <w:bookmarkStart w:id="35" w:name="_ENREF_18"/>
      <w:r w:rsidRPr="00143509">
        <w:rPr>
          <w:rFonts w:asciiTheme="minorHAnsi" w:hAnsiTheme="minorHAnsi" w:cstheme="minorHAnsi"/>
          <w:szCs w:val="20"/>
        </w:rPr>
        <w:t>18.</w:t>
      </w:r>
      <w:r w:rsidRPr="00143509">
        <w:rPr>
          <w:rFonts w:asciiTheme="minorHAnsi" w:hAnsiTheme="minorHAnsi" w:cstheme="minorHAnsi"/>
          <w:szCs w:val="20"/>
        </w:rPr>
        <w:tab/>
        <w:t xml:space="preserve">Masters SH, Burstein R, Amofah G, Abaogye P, Kumar S, Hanlon M. Travel time to maternity care and its effect on utilization in rural Ghana: a multilevel analysis. </w:t>
      </w:r>
      <w:r w:rsidRPr="00143509">
        <w:rPr>
          <w:rFonts w:asciiTheme="minorHAnsi" w:hAnsiTheme="minorHAnsi" w:cstheme="minorHAnsi"/>
          <w:i/>
          <w:szCs w:val="20"/>
        </w:rPr>
        <w:t>Social Science &amp; Medicine</w:t>
      </w:r>
      <w:r w:rsidRPr="00143509">
        <w:rPr>
          <w:rFonts w:asciiTheme="minorHAnsi" w:hAnsiTheme="minorHAnsi" w:cstheme="minorHAnsi"/>
          <w:szCs w:val="20"/>
        </w:rPr>
        <w:t xml:space="preserve"> 2013; </w:t>
      </w:r>
      <w:r w:rsidRPr="00143509">
        <w:rPr>
          <w:rFonts w:asciiTheme="minorHAnsi" w:hAnsiTheme="minorHAnsi" w:cstheme="minorHAnsi"/>
          <w:b/>
          <w:szCs w:val="20"/>
        </w:rPr>
        <w:t>93</w:t>
      </w:r>
      <w:r w:rsidRPr="00143509">
        <w:rPr>
          <w:rFonts w:asciiTheme="minorHAnsi" w:hAnsiTheme="minorHAnsi" w:cstheme="minorHAnsi"/>
          <w:szCs w:val="20"/>
        </w:rPr>
        <w:t>: 147-54.</w:t>
      </w:r>
      <w:bookmarkEnd w:id="35"/>
    </w:p>
    <w:p w:rsidR="00022EA6" w:rsidRPr="00143509" w:rsidRDefault="00022EA6" w:rsidP="00FE4BAE">
      <w:pPr>
        <w:pStyle w:val="EndNoteBibliography"/>
        <w:spacing w:after="0"/>
        <w:rPr>
          <w:rFonts w:asciiTheme="minorHAnsi" w:hAnsiTheme="minorHAnsi" w:cstheme="minorHAnsi"/>
          <w:szCs w:val="20"/>
        </w:rPr>
      </w:pPr>
      <w:bookmarkStart w:id="36" w:name="_ENREF_19"/>
      <w:r w:rsidRPr="00143509">
        <w:rPr>
          <w:rFonts w:asciiTheme="minorHAnsi" w:hAnsiTheme="minorHAnsi" w:cstheme="minorHAnsi"/>
          <w:szCs w:val="20"/>
        </w:rPr>
        <w:t>19.</w:t>
      </w:r>
      <w:r w:rsidRPr="00143509">
        <w:rPr>
          <w:rFonts w:asciiTheme="minorHAnsi" w:hAnsiTheme="minorHAnsi" w:cstheme="minorHAnsi"/>
          <w:szCs w:val="20"/>
        </w:rPr>
        <w:tab/>
        <w:t xml:space="preserve">Mennicken R, Kolodziej IW, Augurzky B, Kreienberg R. Concentration of gynaecology and obstetrics in Germany: is comprehensive access at stake? </w:t>
      </w:r>
      <w:r w:rsidRPr="00143509">
        <w:rPr>
          <w:rFonts w:asciiTheme="minorHAnsi" w:hAnsiTheme="minorHAnsi" w:cstheme="minorHAnsi"/>
          <w:i/>
          <w:szCs w:val="20"/>
        </w:rPr>
        <w:t>Health Policy</w:t>
      </w:r>
      <w:r w:rsidRPr="00143509">
        <w:rPr>
          <w:rFonts w:asciiTheme="minorHAnsi" w:hAnsiTheme="minorHAnsi" w:cstheme="minorHAnsi"/>
          <w:szCs w:val="20"/>
        </w:rPr>
        <w:t xml:space="preserve"> 2014; </w:t>
      </w:r>
      <w:r w:rsidRPr="00143509">
        <w:rPr>
          <w:rFonts w:asciiTheme="minorHAnsi" w:hAnsiTheme="minorHAnsi" w:cstheme="minorHAnsi"/>
          <w:b/>
          <w:szCs w:val="20"/>
        </w:rPr>
        <w:t>118</w:t>
      </w:r>
      <w:r w:rsidRPr="00143509">
        <w:rPr>
          <w:rFonts w:asciiTheme="minorHAnsi" w:hAnsiTheme="minorHAnsi" w:cstheme="minorHAnsi"/>
          <w:szCs w:val="20"/>
        </w:rPr>
        <w:t>(3): 396-406.</w:t>
      </w:r>
      <w:bookmarkEnd w:id="36"/>
    </w:p>
    <w:p w:rsidR="00022EA6" w:rsidRPr="00143509" w:rsidRDefault="00022EA6" w:rsidP="00FE4BAE">
      <w:pPr>
        <w:pStyle w:val="EndNoteBibliography"/>
        <w:spacing w:after="0"/>
        <w:rPr>
          <w:rFonts w:asciiTheme="minorHAnsi" w:hAnsiTheme="minorHAnsi" w:cstheme="minorHAnsi"/>
          <w:szCs w:val="20"/>
        </w:rPr>
      </w:pPr>
      <w:bookmarkStart w:id="37" w:name="_ENREF_20"/>
      <w:r w:rsidRPr="00143509">
        <w:rPr>
          <w:rFonts w:asciiTheme="minorHAnsi" w:hAnsiTheme="minorHAnsi" w:cstheme="minorHAnsi"/>
          <w:szCs w:val="20"/>
        </w:rPr>
        <w:t>20.</w:t>
      </w:r>
      <w:r w:rsidRPr="00143509">
        <w:rPr>
          <w:rFonts w:asciiTheme="minorHAnsi" w:hAnsiTheme="minorHAnsi" w:cstheme="minorHAnsi"/>
          <w:szCs w:val="20"/>
        </w:rPr>
        <w:tab/>
        <w:t xml:space="preserve">Dickson KE, Jewkes RK, Brown H, Levin J, Rees H, Mavuya L. Abortion service provision in South Africa three years after liberalization of the law. </w:t>
      </w:r>
      <w:r w:rsidRPr="00143509">
        <w:rPr>
          <w:rFonts w:asciiTheme="minorHAnsi" w:hAnsiTheme="minorHAnsi" w:cstheme="minorHAnsi"/>
          <w:i/>
          <w:szCs w:val="20"/>
        </w:rPr>
        <w:t>Studies in Family Planning</w:t>
      </w:r>
      <w:r w:rsidRPr="00143509">
        <w:rPr>
          <w:rFonts w:asciiTheme="minorHAnsi" w:hAnsiTheme="minorHAnsi" w:cstheme="minorHAnsi"/>
          <w:szCs w:val="20"/>
        </w:rPr>
        <w:t xml:space="preserve"> 2003; </w:t>
      </w:r>
      <w:r w:rsidRPr="00143509">
        <w:rPr>
          <w:rFonts w:asciiTheme="minorHAnsi" w:hAnsiTheme="minorHAnsi" w:cstheme="minorHAnsi"/>
          <w:b/>
          <w:szCs w:val="20"/>
        </w:rPr>
        <w:t>34</w:t>
      </w:r>
      <w:r w:rsidRPr="00143509">
        <w:rPr>
          <w:rFonts w:asciiTheme="minorHAnsi" w:hAnsiTheme="minorHAnsi" w:cstheme="minorHAnsi"/>
          <w:szCs w:val="20"/>
        </w:rPr>
        <w:t>(4): 277-84.</w:t>
      </w:r>
      <w:bookmarkEnd w:id="37"/>
    </w:p>
    <w:p w:rsidR="00022EA6" w:rsidRPr="00143509" w:rsidRDefault="00022EA6" w:rsidP="00FE4BAE">
      <w:pPr>
        <w:pStyle w:val="EndNoteBibliography"/>
        <w:spacing w:after="0"/>
        <w:rPr>
          <w:rFonts w:asciiTheme="minorHAnsi" w:hAnsiTheme="minorHAnsi" w:cstheme="minorHAnsi"/>
          <w:szCs w:val="20"/>
        </w:rPr>
      </w:pPr>
      <w:bookmarkStart w:id="38" w:name="_ENREF_21"/>
      <w:r w:rsidRPr="00143509">
        <w:rPr>
          <w:rFonts w:asciiTheme="minorHAnsi" w:hAnsiTheme="minorHAnsi" w:cstheme="minorHAnsi"/>
          <w:szCs w:val="20"/>
        </w:rPr>
        <w:t>21.</w:t>
      </w:r>
      <w:r w:rsidRPr="00143509">
        <w:rPr>
          <w:rFonts w:asciiTheme="minorHAnsi" w:hAnsiTheme="minorHAnsi" w:cstheme="minorHAnsi"/>
          <w:szCs w:val="20"/>
        </w:rPr>
        <w:tab/>
        <w:t>Sethna C, Doull M. Spatial disparities and travel to freestanding abortion clinics in Canada.  Women's Studies International Forum; 2013: Elsevier; 2013. p. 52-62.</w:t>
      </w:r>
      <w:bookmarkEnd w:id="38"/>
    </w:p>
    <w:p w:rsidR="00022EA6" w:rsidRPr="00143509" w:rsidRDefault="00022EA6" w:rsidP="00FE4BAE">
      <w:pPr>
        <w:pStyle w:val="EndNoteBibliography"/>
        <w:spacing w:after="0"/>
        <w:rPr>
          <w:rFonts w:asciiTheme="minorHAnsi" w:hAnsiTheme="minorHAnsi" w:cstheme="minorHAnsi"/>
          <w:szCs w:val="20"/>
        </w:rPr>
      </w:pPr>
      <w:bookmarkStart w:id="39" w:name="_ENREF_22"/>
      <w:r w:rsidRPr="00143509">
        <w:rPr>
          <w:rFonts w:asciiTheme="minorHAnsi" w:hAnsiTheme="minorHAnsi" w:cstheme="minorHAnsi"/>
          <w:szCs w:val="20"/>
        </w:rPr>
        <w:t>22.</w:t>
      </w:r>
      <w:r w:rsidRPr="00143509">
        <w:rPr>
          <w:rFonts w:asciiTheme="minorHAnsi" w:hAnsiTheme="minorHAnsi" w:cstheme="minorHAnsi"/>
          <w:szCs w:val="20"/>
        </w:rPr>
        <w:tab/>
        <w:t xml:space="preserve">Campbell OM, Aquino E, Vwalika B, Gabrysch S. Signal functions for measuring the ability of health facilities to provide abortion services: an illustrative analysis using a health facility census in Zambia. </w:t>
      </w:r>
      <w:r w:rsidRPr="00143509">
        <w:rPr>
          <w:rFonts w:asciiTheme="minorHAnsi" w:hAnsiTheme="minorHAnsi" w:cstheme="minorHAnsi"/>
          <w:i/>
          <w:szCs w:val="20"/>
        </w:rPr>
        <w:t>BMC Pregnancy &amp; Childbirth</w:t>
      </w:r>
      <w:r w:rsidRPr="00143509">
        <w:rPr>
          <w:rFonts w:asciiTheme="minorHAnsi" w:hAnsiTheme="minorHAnsi" w:cstheme="minorHAnsi"/>
          <w:szCs w:val="20"/>
        </w:rPr>
        <w:t xml:space="preserve"> Submitted.</w:t>
      </w:r>
      <w:bookmarkEnd w:id="39"/>
    </w:p>
    <w:p w:rsidR="00022EA6" w:rsidRPr="00143509" w:rsidRDefault="00022EA6" w:rsidP="00FE4BAE">
      <w:pPr>
        <w:pStyle w:val="EndNoteBibliography"/>
        <w:spacing w:after="0"/>
        <w:rPr>
          <w:rFonts w:asciiTheme="minorHAnsi" w:hAnsiTheme="minorHAnsi" w:cstheme="minorHAnsi"/>
          <w:szCs w:val="20"/>
        </w:rPr>
      </w:pPr>
      <w:bookmarkStart w:id="40" w:name="_ENREF_23"/>
      <w:r w:rsidRPr="00143509">
        <w:rPr>
          <w:rFonts w:asciiTheme="minorHAnsi" w:hAnsiTheme="minorHAnsi" w:cstheme="minorHAnsi"/>
          <w:szCs w:val="20"/>
        </w:rPr>
        <w:t>23.</w:t>
      </w:r>
      <w:r w:rsidRPr="00143509">
        <w:rPr>
          <w:rFonts w:asciiTheme="minorHAnsi" w:hAnsiTheme="minorHAnsi" w:cstheme="minorHAnsi"/>
          <w:szCs w:val="20"/>
        </w:rPr>
        <w:tab/>
        <w:t xml:space="preserve">Heard N, Larsen U, Hozumi D. Investigating access to reproductive health services using GIS: proximity to services and the use of modern contraceptives in Malawi. </w:t>
      </w:r>
      <w:r w:rsidRPr="00143509">
        <w:rPr>
          <w:rFonts w:asciiTheme="minorHAnsi" w:hAnsiTheme="minorHAnsi" w:cstheme="minorHAnsi"/>
          <w:i/>
          <w:szCs w:val="20"/>
        </w:rPr>
        <w:t>Afr J Reprod Health</w:t>
      </w:r>
      <w:r w:rsidRPr="00143509">
        <w:rPr>
          <w:rFonts w:asciiTheme="minorHAnsi" w:hAnsiTheme="minorHAnsi" w:cstheme="minorHAnsi"/>
          <w:szCs w:val="20"/>
        </w:rPr>
        <w:t xml:space="preserve"> 2004; </w:t>
      </w:r>
      <w:r w:rsidRPr="00143509">
        <w:rPr>
          <w:rFonts w:asciiTheme="minorHAnsi" w:hAnsiTheme="minorHAnsi" w:cstheme="minorHAnsi"/>
          <w:b/>
          <w:szCs w:val="20"/>
        </w:rPr>
        <w:t>8</w:t>
      </w:r>
      <w:r w:rsidRPr="00143509">
        <w:rPr>
          <w:rFonts w:asciiTheme="minorHAnsi" w:hAnsiTheme="minorHAnsi" w:cstheme="minorHAnsi"/>
          <w:szCs w:val="20"/>
        </w:rPr>
        <w:t>(2): 164 - 79.</w:t>
      </w:r>
      <w:bookmarkEnd w:id="40"/>
    </w:p>
    <w:p w:rsidR="00022EA6" w:rsidRPr="00143509" w:rsidRDefault="00022EA6" w:rsidP="00FE4BAE">
      <w:pPr>
        <w:pStyle w:val="EndNoteBibliography"/>
        <w:spacing w:after="0"/>
        <w:rPr>
          <w:rFonts w:asciiTheme="minorHAnsi" w:hAnsiTheme="minorHAnsi" w:cstheme="minorHAnsi"/>
          <w:szCs w:val="20"/>
        </w:rPr>
      </w:pPr>
      <w:bookmarkStart w:id="41" w:name="_ENREF_24"/>
      <w:r w:rsidRPr="00143509">
        <w:rPr>
          <w:rFonts w:asciiTheme="minorHAnsi" w:hAnsiTheme="minorHAnsi" w:cstheme="minorHAnsi"/>
          <w:szCs w:val="20"/>
        </w:rPr>
        <w:t>24.</w:t>
      </w:r>
      <w:r w:rsidRPr="00143509">
        <w:rPr>
          <w:rFonts w:asciiTheme="minorHAnsi" w:hAnsiTheme="minorHAnsi" w:cstheme="minorHAnsi"/>
          <w:szCs w:val="20"/>
        </w:rPr>
        <w:tab/>
        <w:t xml:space="preserve">Braun O, McCallion R, Fazackerley J. Characteristics of midsized urban EMS systems. </w:t>
      </w:r>
      <w:r w:rsidRPr="00143509">
        <w:rPr>
          <w:rFonts w:asciiTheme="minorHAnsi" w:hAnsiTheme="minorHAnsi" w:cstheme="minorHAnsi"/>
          <w:i/>
          <w:szCs w:val="20"/>
        </w:rPr>
        <w:t>Annals of emergency medicine</w:t>
      </w:r>
      <w:r w:rsidRPr="00143509">
        <w:rPr>
          <w:rFonts w:asciiTheme="minorHAnsi" w:hAnsiTheme="minorHAnsi" w:cstheme="minorHAnsi"/>
          <w:szCs w:val="20"/>
        </w:rPr>
        <w:t xml:space="preserve"> 1990; </w:t>
      </w:r>
      <w:r w:rsidRPr="00143509">
        <w:rPr>
          <w:rFonts w:asciiTheme="minorHAnsi" w:hAnsiTheme="minorHAnsi" w:cstheme="minorHAnsi"/>
          <w:b/>
          <w:szCs w:val="20"/>
        </w:rPr>
        <w:t>19</w:t>
      </w:r>
      <w:r w:rsidRPr="00143509">
        <w:rPr>
          <w:rFonts w:asciiTheme="minorHAnsi" w:hAnsiTheme="minorHAnsi" w:cstheme="minorHAnsi"/>
          <w:szCs w:val="20"/>
        </w:rPr>
        <w:t>(5): 536-46.</w:t>
      </w:r>
      <w:bookmarkEnd w:id="41"/>
    </w:p>
    <w:p w:rsidR="00022EA6" w:rsidRPr="00143509" w:rsidRDefault="00022EA6" w:rsidP="00FE4BAE">
      <w:pPr>
        <w:pStyle w:val="EndNoteBibliography"/>
        <w:spacing w:after="0"/>
        <w:rPr>
          <w:rFonts w:asciiTheme="minorHAnsi" w:hAnsiTheme="minorHAnsi" w:cstheme="minorHAnsi"/>
          <w:szCs w:val="20"/>
        </w:rPr>
      </w:pPr>
      <w:bookmarkStart w:id="42" w:name="_ENREF_25"/>
      <w:r w:rsidRPr="00143509">
        <w:rPr>
          <w:rFonts w:asciiTheme="minorHAnsi" w:hAnsiTheme="minorHAnsi" w:cstheme="minorHAnsi"/>
          <w:szCs w:val="20"/>
        </w:rPr>
        <w:t>25.</w:t>
      </w:r>
      <w:r w:rsidRPr="00143509">
        <w:rPr>
          <w:rFonts w:asciiTheme="minorHAnsi" w:hAnsiTheme="minorHAnsi" w:cstheme="minorHAnsi"/>
          <w:szCs w:val="20"/>
        </w:rPr>
        <w:tab/>
        <w:t>Sasser S, Varghese M, Kellermann A, Lormand J-D. Prehospital trauma care systems.  Prehospital trauma care systems. Geneva: World Health Organization; 2005.</w:t>
      </w:r>
      <w:bookmarkEnd w:id="42"/>
    </w:p>
    <w:p w:rsidR="00022EA6" w:rsidRPr="00143509" w:rsidRDefault="00022EA6" w:rsidP="00FE4BAE">
      <w:pPr>
        <w:pStyle w:val="EndNoteBibliography"/>
        <w:spacing w:after="0"/>
        <w:rPr>
          <w:rFonts w:asciiTheme="minorHAnsi" w:hAnsiTheme="minorHAnsi" w:cstheme="minorHAnsi"/>
          <w:szCs w:val="20"/>
        </w:rPr>
      </w:pPr>
      <w:bookmarkStart w:id="43" w:name="_ENREF_26"/>
      <w:r w:rsidRPr="00143509">
        <w:rPr>
          <w:rFonts w:asciiTheme="minorHAnsi" w:hAnsiTheme="minorHAnsi" w:cstheme="minorHAnsi"/>
          <w:szCs w:val="20"/>
        </w:rPr>
        <w:lastRenderedPageBreak/>
        <w:t>26.</w:t>
      </w:r>
      <w:r w:rsidRPr="00143509">
        <w:rPr>
          <w:rFonts w:asciiTheme="minorHAnsi" w:hAnsiTheme="minorHAnsi" w:cstheme="minorHAnsi"/>
          <w:szCs w:val="20"/>
        </w:rPr>
        <w:tab/>
        <w:t xml:space="preserve">Ludwig G. The waiting game some patients don't have the luxury of time. </w:t>
      </w:r>
      <w:r w:rsidRPr="00143509">
        <w:rPr>
          <w:rFonts w:asciiTheme="minorHAnsi" w:hAnsiTheme="minorHAnsi" w:cstheme="minorHAnsi"/>
          <w:i/>
          <w:szCs w:val="20"/>
        </w:rPr>
        <w:t>JEMS : a journal of emergency medical services</w:t>
      </w:r>
      <w:r w:rsidRPr="00143509">
        <w:rPr>
          <w:rFonts w:asciiTheme="minorHAnsi" w:hAnsiTheme="minorHAnsi" w:cstheme="minorHAnsi"/>
          <w:szCs w:val="20"/>
        </w:rPr>
        <w:t xml:space="preserve"> 2010; </w:t>
      </w:r>
      <w:r w:rsidRPr="00143509">
        <w:rPr>
          <w:rFonts w:asciiTheme="minorHAnsi" w:hAnsiTheme="minorHAnsi" w:cstheme="minorHAnsi"/>
          <w:b/>
          <w:szCs w:val="20"/>
        </w:rPr>
        <w:t>35</w:t>
      </w:r>
      <w:r w:rsidRPr="00143509">
        <w:rPr>
          <w:rFonts w:asciiTheme="minorHAnsi" w:hAnsiTheme="minorHAnsi" w:cstheme="minorHAnsi"/>
          <w:szCs w:val="20"/>
        </w:rPr>
        <w:t>(7): 26.</w:t>
      </w:r>
      <w:bookmarkEnd w:id="43"/>
    </w:p>
    <w:p w:rsidR="00022EA6" w:rsidRPr="00143509" w:rsidRDefault="00022EA6" w:rsidP="00FE4BAE">
      <w:pPr>
        <w:pStyle w:val="EndNoteBibliography"/>
        <w:spacing w:after="0"/>
        <w:rPr>
          <w:rFonts w:asciiTheme="minorHAnsi" w:hAnsiTheme="minorHAnsi" w:cstheme="minorHAnsi"/>
          <w:szCs w:val="20"/>
        </w:rPr>
      </w:pPr>
      <w:bookmarkStart w:id="44" w:name="_ENREF_27"/>
      <w:r w:rsidRPr="00143509">
        <w:rPr>
          <w:rFonts w:asciiTheme="minorHAnsi" w:hAnsiTheme="minorHAnsi" w:cstheme="minorHAnsi"/>
          <w:szCs w:val="20"/>
        </w:rPr>
        <w:t>27.</w:t>
      </w:r>
      <w:r w:rsidRPr="00143509">
        <w:rPr>
          <w:rFonts w:asciiTheme="minorHAnsi" w:hAnsiTheme="minorHAnsi" w:cstheme="minorHAnsi"/>
          <w:szCs w:val="20"/>
        </w:rPr>
        <w:tab/>
        <w:t>United Nations Inter-agency and Expert Group on MDG Indicators. The Millennium Development Goals Report 2015. New York: United Nations, 2015.</w:t>
      </w:r>
      <w:bookmarkEnd w:id="44"/>
    </w:p>
    <w:p w:rsidR="00022EA6" w:rsidRPr="00143509" w:rsidRDefault="00022EA6" w:rsidP="00FE4BAE">
      <w:pPr>
        <w:pStyle w:val="EndNoteBibliography"/>
        <w:spacing w:after="0"/>
        <w:rPr>
          <w:rFonts w:asciiTheme="minorHAnsi" w:hAnsiTheme="minorHAnsi" w:cstheme="minorHAnsi"/>
          <w:szCs w:val="20"/>
        </w:rPr>
      </w:pPr>
      <w:bookmarkStart w:id="45" w:name="_ENREF_28"/>
      <w:r w:rsidRPr="00143509">
        <w:rPr>
          <w:rFonts w:asciiTheme="minorHAnsi" w:hAnsiTheme="minorHAnsi" w:cstheme="minorHAnsi"/>
          <w:szCs w:val="20"/>
        </w:rPr>
        <w:t>28.</w:t>
      </w:r>
      <w:r w:rsidRPr="00143509">
        <w:rPr>
          <w:rFonts w:asciiTheme="minorHAnsi" w:hAnsiTheme="minorHAnsi" w:cstheme="minorHAnsi"/>
          <w:szCs w:val="20"/>
        </w:rPr>
        <w:tab/>
        <w:t xml:space="preserve">Ahmed S, Li Q, Liu L, Tsui AO. Maternal deaths averted by contraceptive use: an analysis of 172 countries. </w:t>
      </w:r>
      <w:r w:rsidRPr="00143509">
        <w:rPr>
          <w:rFonts w:asciiTheme="minorHAnsi" w:hAnsiTheme="minorHAnsi" w:cstheme="minorHAnsi"/>
          <w:i/>
          <w:szCs w:val="20"/>
        </w:rPr>
        <w:t>The Lancet</w:t>
      </w:r>
      <w:r w:rsidRPr="00143509">
        <w:rPr>
          <w:rFonts w:asciiTheme="minorHAnsi" w:hAnsiTheme="minorHAnsi" w:cstheme="minorHAnsi"/>
          <w:szCs w:val="20"/>
        </w:rPr>
        <w:t xml:space="preserve"> 2012; </w:t>
      </w:r>
      <w:r w:rsidRPr="00143509">
        <w:rPr>
          <w:rFonts w:asciiTheme="minorHAnsi" w:hAnsiTheme="minorHAnsi" w:cstheme="minorHAnsi"/>
          <w:b/>
          <w:szCs w:val="20"/>
        </w:rPr>
        <w:t>380</w:t>
      </w:r>
      <w:r w:rsidRPr="00143509">
        <w:rPr>
          <w:rFonts w:asciiTheme="minorHAnsi" w:hAnsiTheme="minorHAnsi" w:cstheme="minorHAnsi"/>
          <w:szCs w:val="20"/>
        </w:rPr>
        <w:t>(9837): 111-25.</w:t>
      </w:r>
      <w:bookmarkEnd w:id="45"/>
    </w:p>
    <w:p w:rsidR="00022EA6" w:rsidRPr="00143509" w:rsidRDefault="00022EA6" w:rsidP="00FE4BAE">
      <w:pPr>
        <w:pStyle w:val="EndNoteBibliography"/>
        <w:spacing w:after="0"/>
        <w:rPr>
          <w:rFonts w:asciiTheme="minorHAnsi" w:hAnsiTheme="minorHAnsi" w:cstheme="minorHAnsi"/>
          <w:szCs w:val="20"/>
        </w:rPr>
      </w:pPr>
      <w:bookmarkStart w:id="46" w:name="_ENREF_29"/>
      <w:r w:rsidRPr="00143509">
        <w:rPr>
          <w:rFonts w:asciiTheme="minorHAnsi" w:hAnsiTheme="minorHAnsi" w:cstheme="minorHAnsi"/>
          <w:szCs w:val="20"/>
        </w:rPr>
        <w:t>29.</w:t>
      </w:r>
      <w:r w:rsidRPr="00143509">
        <w:rPr>
          <w:rFonts w:asciiTheme="minorHAnsi" w:hAnsiTheme="minorHAnsi" w:cstheme="minorHAnsi"/>
          <w:szCs w:val="20"/>
        </w:rPr>
        <w:tab/>
        <w:t xml:space="preserve">Sedgh G, Singh S, Shah IH, Ahman E, Henshaw SK, Bankole A. Induced abortion: incidence and trends worldwide from 1995 to 2008. </w:t>
      </w:r>
      <w:r w:rsidRPr="00143509">
        <w:rPr>
          <w:rFonts w:asciiTheme="minorHAnsi" w:hAnsiTheme="minorHAnsi" w:cstheme="minorHAnsi"/>
          <w:i/>
          <w:szCs w:val="20"/>
        </w:rPr>
        <w:t>Lancet</w:t>
      </w:r>
      <w:r w:rsidRPr="00143509">
        <w:rPr>
          <w:rFonts w:asciiTheme="minorHAnsi" w:hAnsiTheme="minorHAnsi" w:cstheme="minorHAnsi"/>
          <w:szCs w:val="20"/>
        </w:rPr>
        <w:t xml:space="preserve"> 2012; </w:t>
      </w:r>
      <w:r w:rsidRPr="00143509">
        <w:rPr>
          <w:rFonts w:asciiTheme="minorHAnsi" w:hAnsiTheme="minorHAnsi" w:cstheme="minorHAnsi"/>
          <w:b/>
          <w:szCs w:val="20"/>
        </w:rPr>
        <w:t>379</w:t>
      </w:r>
      <w:r w:rsidRPr="00143509">
        <w:rPr>
          <w:rFonts w:asciiTheme="minorHAnsi" w:hAnsiTheme="minorHAnsi" w:cstheme="minorHAnsi"/>
          <w:szCs w:val="20"/>
        </w:rPr>
        <w:t>(9816): 625-32.</w:t>
      </w:r>
      <w:bookmarkEnd w:id="46"/>
    </w:p>
    <w:p w:rsidR="00022EA6" w:rsidRPr="00143509" w:rsidRDefault="00022EA6" w:rsidP="00FE4BAE">
      <w:pPr>
        <w:pStyle w:val="EndNoteBibliography"/>
        <w:spacing w:after="0"/>
        <w:rPr>
          <w:rFonts w:asciiTheme="minorHAnsi" w:hAnsiTheme="minorHAnsi" w:cstheme="minorHAnsi"/>
          <w:szCs w:val="20"/>
        </w:rPr>
      </w:pPr>
      <w:bookmarkStart w:id="47" w:name="_ENREF_30"/>
      <w:r w:rsidRPr="00143509">
        <w:rPr>
          <w:rFonts w:asciiTheme="minorHAnsi" w:hAnsiTheme="minorHAnsi" w:cstheme="minorHAnsi"/>
          <w:szCs w:val="20"/>
        </w:rPr>
        <w:t>30.</w:t>
      </w:r>
      <w:r w:rsidRPr="00143509">
        <w:rPr>
          <w:rFonts w:asciiTheme="minorHAnsi" w:hAnsiTheme="minorHAnsi" w:cstheme="minorHAnsi"/>
          <w:szCs w:val="20"/>
        </w:rPr>
        <w:tab/>
        <w:t xml:space="preserve">Say L, Chou D, Gemmill A, et al. Global causes of maternal death: a WHO systematic analysis. </w:t>
      </w:r>
      <w:r w:rsidRPr="00143509">
        <w:rPr>
          <w:rFonts w:asciiTheme="minorHAnsi" w:hAnsiTheme="minorHAnsi" w:cstheme="minorHAnsi"/>
          <w:i/>
          <w:szCs w:val="20"/>
        </w:rPr>
        <w:t>The Lancet Global health</w:t>
      </w:r>
      <w:r w:rsidRPr="00143509">
        <w:rPr>
          <w:rFonts w:asciiTheme="minorHAnsi" w:hAnsiTheme="minorHAnsi" w:cstheme="minorHAnsi"/>
          <w:szCs w:val="20"/>
        </w:rPr>
        <w:t xml:space="preserve"> 2014; </w:t>
      </w:r>
      <w:r w:rsidRPr="00143509">
        <w:rPr>
          <w:rFonts w:asciiTheme="minorHAnsi" w:hAnsiTheme="minorHAnsi" w:cstheme="minorHAnsi"/>
          <w:b/>
          <w:szCs w:val="20"/>
        </w:rPr>
        <w:t>2</w:t>
      </w:r>
      <w:r w:rsidRPr="00143509">
        <w:rPr>
          <w:rFonts w:asciiTheme="minorHAnsi" w:hAnsiTheme="minorHAnsi" w:cstheme="minorHAnsi"/>
          <w:szCs w:val="20"/>
        </w:rPr>
        <w:t>(6): e323-33.</w:t>
      </w:r>
      <w:bookmarkEnd w:id="47"/>
    </w:p>
    <w:p w:rsidR="00022EA6" w:rsidRPr="00143509" w:rsidRDefault="00022EA6" w:rsidP="00FE4BAE">
      <w:pPr>
        <w:pStyle w:val="EndNoteBibliography"/>
        <w:spacing w:after="0"/>
        <w:rPr>
          <w:rFonts w:asciiTheme="minorHAnsi" w:hAnsiTheme="minorHAnsi" w:cstheme="minorHAnsi"/>
          <w:szCs w:val="20"/>
        </w:rPr>
      </w:pPr>
      <w:bookmarkStart w:id="48" w:name="_ENREF_31"/>
      <w:r w:rsidRPr="00143509">
        <w:rPr>
          <w:rFonts w:asciiTheme="minorHAnsi" w:hAnsiTheme="minorHAnsi" w:cstheme="minorHAnsi"/>
          <w:szCs w:val="20"/>
        </w:rPr>
        <w:t>31.</w:t>
      </w:r>
      <w:r w:rsidRPr="00143509">
        <w:rPr>
          <w:rFonts w:asciiTheme="minorHAnsi" w:hAnsiTheme="minorHAnsi" w:cstheme="minorHAnsi"/>
          <w:szCs w:val="20"/>
        </w:rPr>
        <w:tab/>
        <w:t xml:space="preserve">Sedgh G, Singh S, Shah IH, Åhman E, Henshaw SK, Bankole A. Induced abortion: incidence and trends worldwide from 1995 to 2008. </w:t>
      </w:r>
      <w:r w:rsidRPr="00143509">
        <w:rPr>
          <w:rFonts w:asciiTheme="minorHAnsi" w:hAnsiTheme="minorHAnsi" w:cstheme="minorHAnsi"/>
          <w:i/>
          <w:szCs w:val="20"/>
        </w:rPr>
        <w:t>The Lancet</w:t>
      </w:r>
      <w:r w:rsidRPr="00143509">
        <w:rPr>
          <w:rFonts w:asciiTheme="minorHAnsi" w:hAnsiTheme="minorHAnsi" w:cstheme="minorHAnsi"/>
          <w:szCs w:val="20"/>
        </w:rPr>
        <w:t xml:space="preserve"> 2012; </w:t>
      </w:r>
      <w:r w:rsidRPr="00143509">
        <w:rPr>
          <w:rFonts w:asciiTheme="minorHAnsi" w:hAnsiTheme="minorHAnsi" w:cstheme="minorHAnsi"/>
          <w:b/>
          <w:szCs w:val="20"/>
        </w:rPr>
        <w:t>379</w:t>
      </w:r>
      <w:r w:rsidRPr="00143509">
        <w:rPr>
          <w:rFonts w:asciiTheme="minorHAnsi" w:hAnsiTheme="minorHAnsi" w:cstheme="minorHAnsi"/>
          <w:szCs w:val="20"/>
        </w:rPr>
        <w:t>(9816): 625-32.</w:t>
      </w:r>
      <w:bookmarkEnd w:id="48"/>
    </w:p>
    <w:p w:rsidR="00022EA6" w:rsidRPr="00143509" w:rsidRDefault="00022EA6" w:rsidP="00FE4BAE">
      <w:pPr>
        <w:pStyle w:val="EndNoteBibliography"/>
        <w:spacing w:after="0"/>
        <w:rPr>
          <w:rFonts w:asciiTheme="minorHAnsi" w:hAnsiTheme="minorHAnsi" w:cstheme="minorHAnsi"/>
          <w:szCs w:val="20"/>
        </w:rPr>
      </w:pPr>
      <w:bookmarkStart w:id="49" w:name="_ENREF_32"/>
      <w:r w:rsidRPr="00143509">
        <w:rPr>
          <w:rFonts w:asciiTheme="minorHAnsi" w:hAnsiTheme="minorHAnsi" w:cstheme="minorHAnsi"/>
          <w:szCs w:val="20"/>
        </w:rPr>
        <w:t>32.</w:t>
      </w:r>
      <w:r w:rsidRPr="00143509">
        <w:rPr>
          <w:rFonts w:asciiTheme="minorHAnsi" w:hAnsiTheme="minorHAnsi" w:cstheme="minorHAnsi"/>
          <w:szCs w:val="20"/>
        </w:rPr>
        <w:tab/>
        <w:t xml:space="preserve">Snow RC, Laski L, Mutumba M. Sexual and reproductive health: progress and outstanding needs. </w:t>
      </w:r>
      <w:r w:rsidRPr="00143509">
        <w:rPr>
          <w:rFonts w:asciiTheme="minorHAnsi" w:hAnsiTheme="minorHAnsi" w:cstheme="minorHAnsi"/>
          <w:i/>
          <w:szCs w:val="20"/>
        </w:rPr>
        <w:t>Glob Public Health</w:t>
      </w:r>
      <w:r w:rsidRPr="00143509">
        <w:rPr>
          <w:rFonts w:asciiTheme="minorHAnsi" w:hAnsiTheme="minorHAnsi" w:cstheme="minorHAnsi"/>
          <w:szCs w:val="20"/>
        </w:rPr>
        <w:t xml:space="preserve"> 2015; </w:t>
      </w:r>
      <w:r w:rsidRPr="00143509">
        <w:rPr>
          <w:rFonts w:asciiTheme="minorHAnsi" w:hAnsiTheme="minorHAnsi" w:cstheme="minorHAnsi"/>
          <w:b/>
          <w:szCs w:val="20"/>
        </w:rPr>
        <w:t>10</w:t>
      </w:r>
      <w:r w:rsidRPr="00143509">
        <w:rPr>
          <w:rFonts w:asciiTheme="minorHAnsi" w:hAnsiTheme="minorHAnsi" w:cstheme="minorHAnsi"/>
          <w:szCs w:val="20"/>
        </w:rPr>
        <w:t>(2): 149-73.</w:t>
      </w:r>
      <w:bookmarkEnd w:id="49"/>
    </w:p>
    <w:p w:rsidR="00022EA6" w:rsidRPr="00143509" w:rsidRDefault="00022EA6" w:rsidP="00FE4BAE">
      <w:pPr>
        <w:pStyle w:val="EndNoteBibliography"/>
        <w:spacing w:after="0"/>
        <w:rPr>
          <w:rFonts w:asciiTheme="minorHAnsi" w:hAnsiTheme="minorHAnsi" w:cstheme="minorHAnsi"/>
          <w:szCs w:val="20"/>
        </w:rPr>
      </w:pPr>
      <w:bookmarkStart w:id="50" w:name="_ENREF_33"/>
      <w:r w:rsidRPr="00143509">
        <w:rPr>
          <w:rFonts w:asciiTheme="minorHAnsi" w:hAnsiTheme="minorHAnsi" w:cstheme="minorHAnsi"/>
          <w:szCs w:val="20"/>
        </w:rPr>
        <w:t>33.</w:t>
      </w:r>
      <w:r w:rsidRPr="00143509">
        <w:rPr>
          <w:rFonts w:asciiTheme="minorHAnsi" w:hAnsiTheme="minorHAnsi" w:cstheme="minorHAnsi"/>
          <w:szCs w:val="20"/>
        </w:rPr>
        <w:tab/>
        <w:t>United Nations Economic and Social Council. Framework of actions for the follow-up to the Programme of Action of the International Conference on Population and Development beyond 2014. A report of the Secretary-General (A/69/62). . New York, 2014.</w:t>
      </w:r>
      <w:bookmarkEnd w:id="50"/>
    </w:p>
    <w:p w:rsidR="00022EA6" w:rsidRPr="00143509" w:rsidRDefault="00022EA6" w:rsidP="00FE4BAE">
      <w:pPr>
        <w:pStyle w:val="EndNoteBibliography"/>
        <w:spacing w:after="0"/>
        <w:rPr>
          <w:rFonts w:asciiTheme="minorHAnsi" w:hAnsiTheme="minorHAnsi" w:cstheme="minorHAnsi"/>
          <w:szCs w:val="20"/>
        </w:rPr>
      </w:pPr>
      <w:bookmarkStart w:id="51" w:name="_ENREF_34"/>
      <w:r w:rsidRPr="00143509">
        <w:rPr>
          <w:rFonts w:asciiTheme="minorHAnsi" w:hAnsiTheme="minorHAnsi" w:cstheme="minorHAnsi"/>
          <w:szCs w:val="20"/>
        </w:rPr>
        <w:t>34.</w:t>
      </w:r>
      <w:r w:rsidRPr="00143509">
        <w:rPr>
          <w:rFonts w:asciiTheme="minorHAnsi" w:hAnsiTheme="minorHAnsi" w:cstheme="minorHAnsi"/>
          <w:szCs w:val="20"/>
        </w:rPr>
        <w:tab/>
        <w:t xml:space="preserve">Baggaley RF, Burgin J, Campbell OM. The potential of medical abortion to reduce maternal mortality in Africa: what benefits for Tanzania and Ethiopia? </w:t>
      </w:r>
      <w:r w:rsidRPr="00143509">
        <w:rPr>
          <w:rFonts w:asciiTheme="minorHAnsi" w:hAnsiTheme="minorHAnsi" w:cstheme="minorHAnsi"/>
          <w:i/>
          <w:szCs w:val="20"/>
        </w:rPr>
        <w:t>PloS one</w:t>
      </w:r>
      <w:r w:rsidRPr="00143509">
        <w:rPr>
          <w:rFonts w:asciiTheme="minorHAnsi" w:hAnsiTheme="minorHAnsi" w:cstheme="minorHAnsi"/>
          <w:szCs w:val="20"/>
        </w:rPr>
        <w:t xml:space="preserve"> 2010; </w:t>
      </w:r>
      <w:r w:rsidRPr="00143509">
        <w:rPr>
          <w:rFonts w:asciiTheme="minorHAnsi" w:hAnsiTheme="minorHAnsi" w:cstheme="minorHAnsi"/>
          <w:b/>
          <w:szCs w:val="20"/>
        </w:rPr>
        <w:t>5</w:t>
      </w:r>
      <w:r w:rsidRPr="00143509">
        <w:rPr>
          <w:rFonts w:asciiTheme="minorHAnsi" w:hAnsiTheme="minorHAnsi" w:cstheme="minorHAnsi"/>
          <w:szCs w:val="20"/>
        </w:rPr>
        <w:t>(10): e13260.</w:t>
      </w:r>
      <w:bookmarkEnd w:id="51"/>
    </w:p>
    <w:p w:rsidR="00022EA6" w:rsidRPr="00143509" w:rsidRDefault="00022EA6" w:rsidP="00FE4BAE">
      <w:pPr>
        <w:pStyle w:val="EndNoteBibliography"/>
        <w:spacing w:after="0"/>
        <w:rPr>
          <w:rFonts w:asciiTheme="minorHAnsi" w:hAnsiTheme="minorHAnsi" w:cstheme="minorHAnsi"/>
          <w:szCs w:val="20"/>
        </w:rPr>
      </w:pPr>
      <w:bookmarkStart w:id="52" w:name="_ENREF_35"/>
      <w:r w:rsidRPr="00143509">
        <w:rPr>
          <w:rFonts w:asciiTheme="minorHAnsi" w:hAnsiTheme="minorHAnsi" w:cstheme="minorHAnsi"/>
          <w:szCs w:val="20"/>
        </w:rPr>
        <w:t>35.</w:t>
      </w:r>
      <w:r w:rsidRPr="00143509">
        <w:rPr>
          <w:rFonts w:asciiTheme="minorHAnsi" w:hAnsiTheme="minorHAnsi" w:cstheme="minorHAnsi"/>
          <w:szCs w:val="20"/>
        </w:rPr>
        <w:tab/>
        <w:t xml:space="preserve">Dzuba IG, Winikoff B, Pena M. Medical abortion: a path to safe, high-quality abortion care in Latin America and the Caribbean. </w:t>
      </w:r>
      <w:r w:rsidRPr="00143509">
        <w:rPr>
          <w:rFonts w:asciiTheme="minorHAnsi" w:hAnsiTheme="minorHAnsi" w:cstheme="minorHAnsi"/>
          <w:i/>
          <w:szCs w:val="20"/>
        </w:rPr>
        <w:t>The European journal of contraception &amp; reproductive health care : the official journal of the European Society of Contraception</w:t>
      </w:r>
      <w:r w:rsidRPr="00143509">
        <w:rPr>
          <w:rFonts w:asciiTheme="minorHAnsi" w:hAnsiTheme="minorHAnsi" w:cstheme="minorHAnsi"/>
          <w:szCs w:val="20"/>
        </w:rPr>
        <w:t xml:space="preserve"> 2013; </w:t>
      </w:r>
      <w:r w:rsidRPr="00143509">
        <w:rPr>
          <w:rFonts w:asciiTheme="minorHAnsi" w:hAnsiTheme="minorHAnsi" w:cstheme="minorHAnsi"/>
          <w:b/>
          <w:szCs w:val="20"/>
        </w:rPr>
        <w:t>18</w:t>
      </w:r>
      <w:r w:rsidRPr="00143509">
        <w:rPr>
          <w:rFonts w:asciiTheme="minorHAnsi" w:hAnsiTheme="minorHAnsi" w:cstheme="minorHAnsi"/>
          <w:szCs w:val="20"/>
        </w:rPr>
        <w:t>(6): 441-50.</w:t>
      </w:r>
      <w:bookmarkEnd w:id="52"/>
    </w:p>
    <w:p w:rsidR="00022EA6" w:rsidRPr="00143509" w:rsidRDefault="00022EA6" w:rsidP="00FE4BAE">
      <w:pPr>
        <w:pStyle w:val="EndNoteBibliography"/>
        <w:spacing w:after="0"/>
        <w:rPr>
          <w:rFonts w:asciiTheme="minorHAnsi" w:hAnsiTheme="minorHAnsi" w:cstheme="minorHAnsi"/>
          <w:szCs w:val="20"/>
        </w:rPr>
      </w:pPr>
      <w:bookmarkStart w:id="53" w:name="_ENREF_36"/>
      <w:r w:rsidRPr="00143509">
        <w:rPr>
          <w:rFonts w:asciiTheme="minorHAnsi" w:hAnsiTheme="minorHAnsi" w:cstheme="minorHAnsi"/>
          <w:szCs w:val="20"/>
        </w:rPr>
        <w:t>36.</w:t>
      </w:r>
      <w:r w:rsidRPr="00143509">
        <w:rPr>
          <w:rFonts w:asciiTheme="minorHAnsi" w:hAnsiTheme="minorHAnsi" w:cstheme="minorHAnsi"/>
          <w:szCs w:val="20"/>
        </w:rPr>
        <w:tab/>
        <w:t xml:space="preserve">Harper CC, Blanchard K, Grossman D, Henderson JT, Darney PD. Reducing maternal mortality due to elective abortion: Potential impact of misoprostol in low-resource settings. </w:t>
      </w:r>
      <w:r w:rsidRPr="00143509">
        <w:rPr>
          <w:rFonts w:asciiTheme="minorHAnsi" w:hAnsiTheme="minorHAnsi" w:cstheme="minorHAnsi"/>
          <w:i/>
          <w:szCs w:val="20"/>
        </w:rPr>
        <w:t>International journal of gynaecology and obstetrics: the official organ of the International Federation of Gynaecology and Obstetrics</w:t>
      </w:r>
      <w:r w:rsidRPr="00143509">
        <w:rPr>
          <w:rFonts w:asciiTheme="minorHAnsi" w:hAnsiTheme="minorHAnsi" w:cstheme="minorHAnsi"/>
          <w:szCs w:val="20"/>
        </w:rPr>
        <w:t xml:space="preserve"> 2007; </w:t>
      </w:r>
      <w:r w:rsidRPr="00143509">
        <w:rPr>
          <w:rFonts w:asciiTheme="minorHAnsi" w:hAnsiTheme="minorHAnsi" w:cstheme="minorHAnsi"/>
          <w:b/>
          <w:szCs w:val="20"/>
        </w:rPr>
        <w:t>98</w:t>
      </w:r>
      <w:r w:rsidRPr="00143509">
        <w:rPr>
          <w:rFonts w:asciiTheme="minorHAnsi" w:hAnsiTheme="minorHAnsi" w:cstheme="minorHAnsi"/>
          <w:szCs w:val="20"/>
        </w:rPr>
        <w:t>(1): 66-9.</w:t>
      </w:r>
      <w:bookmarkEnd w:id="53"/>
    </w:p>
    <w:p w:rsidR="00022EA6" w:rsidRPr="00143509" w:rsidRDefault="00022EA6" w:rsidP="00FE4BAE">
      <w:pPr>
        <w:pStyle w:val="EndNoteBibliography"/>
        <w:spacing w:after="0"/>
        <w:rPr>
          <w:rFonts w:asciiTheme="minorHAnsi" w:hAnsiTheme="minorHAnsi" w:cstheme="minorHAnsi"/>
          <w:szCs w:val="20"/>
        </w:rPr>
      </w:pPr>
      <w:bookmarkStart w:id="54" w:name="_ENREF_37"/>
      <w:r w:rsidRPr="00143509">
        <w:rPr>
          <w:rFonts w:asciiTheme="minorHAnsi" w:hAnsiTheme="minorHAnsi" w:cstheme="minorHAnsi"/>
          <w:szCs w:val="20"/>
        </w:rPr>
        <w:t>37.</w:t>
      </w:r>
      <w:r w:rsidRPr="00143509">
        <w:rPr>
          <w:rFonts w:asciiTheme="minorHAnsi" w:hAnsiTheme="minorHAnsi" w:cstheme="minorHAnsi"/>
          <w:szCs w:val="20"/>
        </w:rPr>
        <w:tab/>
        <w:t xml:space="preserve">Ngo TD, Park MH, Shakur H, Free C. Comparative effectiveness, safety and acceptability of medical abortion at home and in a clinic: a systematic review. </w:t>
      </w:r>
      <w:r w:rsidRPr="00143509">
        <w:rPr>
          <w:rFonts w:asciiTheme="minorHAnsi" w:hAnsiTheme="minorHAnsi" w:cstheme="minorHAnsi"/>
          <w:i/>
          <w:szCs w:val="20"/>
        </w:rPr>
        <w:t>Bulletin of the World Health Organization</w:t>
      </w:r>
      <w:r w:rsidRPr="00143509">
        <w:rPr>
          <w:rFonts w:asciiTheme="minorHAnsi" w:hAnsiTheme="minorHAnsi" w:cstheme="minorHAnsi"/>
          <w:szCs w:val="20"/>
        </w:rPr>
        <w:t xml:space="preserve"> 2011; </w:t>
      </w:r>
      <w:r w:rsidRPr="00143509">
        <w:rPr>
          <w:rFonts w:asciiTheme="minorHAnsi" w:hAnsiTheme="minorHAnsi" w:cstheme="minorHAnsi"/>
          <w:b/>
          <w:szCs w:val="20"/>
        </w:rPr>
        <w:t>89</w:t>
      </w:r>
      <w:r w:rsidRPr="00143509">
        <w:rPr>
          <w:rFonts w:asciiTheme="minorHAnsi" w:hAnsiTheme="minorHAnsi" w:cstheme="minorHAnsi"/>
          <w:szCs w:val="20"/>
        </w:rPr>
        <w:t>(5): 360-70.</w:t>
      </w:r>
      <w:bookmarkEnd w:id="54"/>
    </w:p>
    <w:p w:rsidR="00022EA6" w:rsidRPr="00143509" w:rsidRDefault="00022EA6" w:rsidP="00FE4BAE">
      <w:pPr>
        <w:pStyle w:val="EndNoteBibliography"/>
        <w:spacing w:after="0"/>
        <w:rPr>
          <w:rFonts w:asciiTheme="minorHAnsi" w:hAnsiTheme="minorHAnsi" w:cstheme="minorHAnsi"/>
          <w:szCs w:val="20"/>
        </w:rPr>
      </w:pPr>
      <w:bookmarkStart w:id="55" w:name="_ENREF_38"/>
      <w:r w:rsidRPr="00143509">
        <w:rPr>
          <w:rFonts w:asciiTheme="minorHAnsi" w:hAnsiTheme="minorHAnsi" w:cstheme="minorHAnsi"/>
          <w:szCs w:val="20"/>
        </w:rPr>
        <w:t>38.</w:t>
      </w:r>
      <w:r w:rsidRPr="00143509">
        <w:rPr>
          <w:rFonts w:asciiTheme="minorHAnsi" w:hAnsiTheme="minorHAnsi" w:cstheme="minorHAnsi"/>
          <w:szCs w:val="20"/>
        </w:rPr>
        <w:tab/>
        <w:t xml:space="preserve">Prata N, Sreenivas A, Vahidnia F, Potts M. Saving maternal lives in resource-poor settings: facing reality. </w:t>
      </w:r>
      <w:r w:rsidRPr="00143509">
        <w:rPr>
          <w:rFonts w:asciiTheme="minorHAnsi" w:hAnsiTheme="minorHAnsi" w:cstheme="minorHAnsi"/>
          <w:i/>
          <w:szCs w:val="20"/>
        </w:rPr>
        <w:t>Health Policy</w:t>
      </w:r>
      <w:r w:rsidRPr="00143509">
        <w:rPr>
          <w:rFonts w:asciiTheme="minorHAnsi" w:hAnsiTheme="minorHAnsi" w:cstheme="minorHAnsi"/>
          <w:szCs w:val="20"/>
        </w:rPr>
        <w:t xml:space="preserve"> 2009; </w:t>
      </w:r>
      <w:r w:rsidRPr="00143509">
        <w:rPr>
          <w:rFonts w:asciiTheme="minorHAnsi" w:hAnsiTheme="minorHAnsi" w:cstheme="minorHAnsi"/>
          <w:b/>
          <w:szCs w:val="20"/>
        </w:rPr>
        <w:t>89</w:t>
      </w:r>
      <w:r w:rsidRPr="00143509">
        <w:rPr>
          <w:rFonts w:asciiTheme="minorHAnsi" w:hAnsiTheme="minorHAnsi" w:cstheme="minorHAnsi"/>
          <w:szCs w:val="20"/>
        </w:rPr>
        <w:t>(2): 131-48.</w:t>
      </w:r>
      <w:bookmarkEnd w:id="55"/>
    </w:p>
    <w:p w:rsidR="00022EA6" w:rsidRPr="00143509" w:rsidRDefault="00022EA6" w:rsidP="00FE4BAE">
      <w:pPr>
        <w:pStyle w:val="EndNoteBibliography"/>
        <w:spacing w:after="0"/>
        <w:rPr>
          <w:rFonts w:asciiTheme="minorHAnsi" w:hAnsiTheme="minorHAnsi" w:cstheme="minorHAnsi"/>
          <w:szCs w:val="20"/>
        </w:rPr>
      </w:pPr>
      <w:bookmarkStart w:id="56" w:name="_ENREF_39"/>
      <w:r w:rsidRPr="00143509">
        <w:rPr>
          <w:rFonts w:asciiTheme="minorHAnsi" w:hAnsiTheme="minorHAnsi" w:cstheme="minorHAnsi"/>
          <w:szCs w:val="20"/>
        </w:rPr>
        <w:t>39.</w:t>
      </w:r>
      <w:r w:rsidRPr="00143509">
        <w:rPr>
          <w:rFonts w:asciiTheme="minorHAnsi" w:hAnsiTheme="minorHAnsi" w:cstheme="minorHAnsi"/>
          <w:szCs w:val="20"/>
        </w:rPr>
        <w:tab/>
        <w:t xml:space="preserve">Otsea K, Benson J, Alemayehu T, Pearson E, Healy J. Testing the Safe Abortion Care model in Ethiopia to monitor service availability, use, and quality. </w:t>
      </w:r>
      <w:r w:rsidRPr="00143509">
        <w:rPr>
          <w:rFonts w:asciiTheme="minorHAnsi" w:hAnsiTheme="minorHAnsi" w:cstheme="minorHAnsi"/>
          <w:i/>
          <w:szCs w:val="20"/>
        </w:rPr>
        <w:t>Int J Gynaecol Obstet</w:t>
      </w:r>
      <w:r w:rsidRPr="00143509">
        <w:rPr>
          <w:rFonts w:asciiTheme="minorHAnsi" w:hAnsiTheme="minorHAnsi" w:cstheme="minorHAnsi"/>
          <w:szCs w:val="20"/>
        </w:rPr>
        <w:t xml:space="preserve"> 2011; </w:t>
      </w:r>
      <w:r w:rsidRPr="00143509">
        <w:rPr>
          <w:rFonts w:asciiTheme="minorHAnsi" w:hAnsiTheme="minorHAnsi" w:cstheme="minorHAnsi"/>
          <w:b/>
          <w:szCs w:val="20"/>
        </w:rPr>
        <w:t>115</w:t>
      </w:r>
      <w:r w:rsidRPr="00143509">
        <w:rPr>
          <w:rFonts w:asciiTheme="minorHAnsi" w:hAnsiTheme="minorHAnsi" w:cstheme="minorHAnsi"/>
          <w:szCs w:val="20"/>
        </w:rPr>
        <w:t>(3): 316-21.</w:t>
      </w:r>
      <w:bookmarkEnd w:id="56"/>
    </w:p>
    <w:p w:rsidR="00022EA6" w:rsidRPr="00143509" w:rsidRDefault="00022EA6" w:rsidP="00FE4BAE">
      <w:pPr>
        <w:pStyle w:val="EndNoteBibliography"/>
        <w:spacing w:after="0"/>
        <w:rPr>
          <w:rFonts w:asciiTheme="minorHAnsi" w:hAnsiTheme="minorHAnsi" w:cstheme="minorHAnsi"/>
          <w:szCs w:val="20"/>
        </w:rPr>
      </w:pPr>
      <w:bookmarkStart w:id="57" w:name="_ENREF_40"/>
      <w:r w:rsidRPr="00143509">
        <w:rPr>
          <w:rFonts w:asciiTheme="minorHAnsi" w:hAnsiTheme="minorHAnsi" w:cstheme="minorHAnsi"/>
          <w:szCs w:val="20"/>
        </w:rPr>
        <w:t>40.</w:t>
      </w:r>
      <w:r w:rsidRPr="00143509">
        <w:rPr>
          <w:rFonts w:asciiTheme="minorHAnsi" w:hAnsiTheme="minorHAnsi" w:cstheme="minorHAnsi"/>
          <w:szCs w:val="20"/>
        </w:rPr>
        <w:tab/>
        <w:t>Rathavy T, Fetters T, Sherman J, et al. Ready or Not?’ A National Needs Assessment of Abortion Services in Cambodia. Ipas: United States of America, 2007.</w:t>
      </w:r>
      <w:bookmarkEnd w:id="57"/>
    </w:p>
    <w:p w:rsidR="00022EA6" w:rsidRPr="00143509" w:rsidRDefault="00022EA6" w:rsidP="00FE4BAE">
      <w:pPr>
        <w:pStyle w:val="EndNoteBibliography"/>
        <w:spacing w:after="0"/>
        <w:rPr>
          <w:rFonts w:asciiTheme="minorHAnsi" w:hAnsiTheme="minorHAnsi" w:cstheme="minorHAnsi"/>
          <w:szCs w:val="20"/>
        </w:rPr>
      </w:pPr>
      <w:bookmarkStart w:id="58" w:name="_ENREF_41"/>
      <w:r w:rsidRPr="00143509">
        <w:rPr>
          <w:rFonts w:asciiTheme="minorHAnsi" w:hAnsiTheme="minorHAnsi" w:cstheme="minorHAnsi"/>
          <w:szCs w:val="20"/>
        </w:rPr>
        <w:t>41.</w:t>
      </w:r>
      <w:r w:rsidRPr="00143509">
        <w:rPr>
          <w:rFonts w:asciiTheme="minorHAnsi" w:hAnsiTheme="minorHAnsi" w:cstheme="minorHAnsi"/>
          <w:szCs w:val="20"/>
        </w:rPr>
        <w:tab/>
        <w:t xml:space="preserve">Chaturvedi S, Ali S, Randive B, Sabde Y, Diwan V, De Costa A. Availability and distribution of safe abortion services in rural areas: a facility assessment study in Madhya Pradesh, India. </w:t>
      </w:r>
      <w:r w:rsidRPr="00143509">
        <w:rPr>
          <w:rFonts w:asciiTheme="minorHAnsi" w:hAnsiTheme="minorHAnsi" w:cstheme="minorHAnsi"/>
          <w:i/>
          <w:szCs w:val="20"/>
        </w:rPr>
        <w:t>Global health action</w:t>
      </w:r>
      <w:r w:rsidRPr="00143509">
        <w:rPr>
          <w:rFonts w:asciiTheme="minorHAnsi" w:hAnsiTheme="minorHAnsi" w:cstheme="minorHAnsi"/>
          <w:szCs w:val="20"/>
        </w:rPr>
        <w:t xml:space="preserve"> 2015; </w:t>
      </w:r>
      <w:r w:rsidRPr="00143509">
        <w:rPr>
          <w:rFonts w:asciiTheme="minorHAnsi" w:hAnsiTheme="minorHAnsi" w:cstheme="minorHAnsi"/>
          <w:b/>
          <w:szCs w:val="20"/>
        </w:rPr>
        <w:t>8</w:t>
      </w:r>
      <w:r w:rsidRPr="00143509">
        <w:rPr>
          <w:rFonts w:asciiTheme="minorHAnsi" w:hAnsiTheme="minorHAnsi" w:cstheme="minorHAnsi"/>
          <w:szCs w:val="20"/>
        </w:rPr>
        <w:t>: 26346.</w:t>
      </w:r>
      <w:bookmarkEnd w:id="58"/>
    </w:p>
    <w:p w:rsidR="00022EA6" w:rsidRPr="00143509" w:rsidRDefault="00022EA6" w:rsidP="00FE4BAE">
      <w:pPr>
        <w:pStyle w:val="EndNoteBibliography"/>
        <w:spacing w:after="0"/>
        <w:rPr>
          <w:rFonts w:asciiTheme="minorHAnsi" w:hAnsiTheme="minorHAnsi" w:cstheme="minorHAnsi"/>
          <w:szCs w:val="20"/>
        </w:rPr>
      </w:pPr>
      <w:bookmarkStart w:id="59" w:name="_ENREF_42"/>
      <w:r w:rsidRPr="00143509">
        <w:rPr>
          <w:rFonts w:asciiTheme="minorHAnsi" w:hAnsiTheme="minorHAnsi" w:cstheme="minorHAnsi"/>
          <w:szCs w:val="20"/>
        </w:rPr>
        <w:t>42.</w:t>
      </w:r>
      <w:r w:rsidRPr="00143509">
        <w:rPr>
          <w:rFonts w:asciiTheme="minorHAnsi" w:hAnsiTheme="minorHAnsi" w:cstheme="minorHAnsi"/>
          <w:szCs w:val="20"/>
        </w:rPr>
        <w:tab/>
        <w:t xml:space="preserve">Ross JA, Campbell OM, Bulatao R. The Maternal and Neonatal Programme Effort Index (MNPI). </w:t>
      </w:r>
      <w:r w:rsidRPr="00143509">
        <w:rPr>
          <w:rFonts w:asciiTheme="minorHAnsi" w:hAnsiTheme="minorHAnsi" w:cstheme="minorHAnsi"/>
          <w:i/>
          <w:szCs w:val="20"/>
        </w:rPr>
        <w:t>Tropical medicine &amp; international health : TM &amp; IH</w:t>
      </w:r>
      <w:r w:rsidRPr="00143509">
        <w:rPr>
          <w:rFonts w:asciiTheme="minorHAnsi" w:hAnsiTheme="minorHAnsi" w:cstheme="minorHAnsi"/>
          <w:szCs w:val="20"/>
        </w:rPr>
        <w:t xml:space="preserve"> 2001; </w:t>
      </w:r>
      <w:r w:rsidRPr="00143509">
        <w:rPr>
          <w:rFonts w:asciiTheme="minorHAnsi" w:hAnsiTheme="minorHAnsi" w:cstheme="minorHAnsi"/>
          <w:b/>
          <w:szCs w:val="20"/>
        </w:rPr>
        <w:t>6</w:t>
      </w:r>
      <w:r w:rsidRPr="00143509">
        <w:rPr>
          <w:rFonts w:asciiTheme="minorHAnsi" w:hAnsiTheme="minorHAnsi" w:cstheme="minorHAnsi"/>
          <w:szCs w:val="20"/>
        </w:rPr>
        <w:t>(10): 787-98.</w:t>
      </w:r>
      <w:bookmarkEnd w:id="59"/>
    </w:p>
    <w:p w:rsidR="00022EA6" w:rsidRPr="00143509" w:rsidRDefault="00022EA6" w:rsidP="00FE4BAE">
      <w:pPr>
        <w:pStyle w:val="EndNoteBibliography"/>
        <w:spacing w:after="0"/>
        <w:rPr>
          <w:rFonts w:asciiTheme="minorHAnsi" w:hAnsiTheme="minorHAnsi" w:cstheme="minorHAnsi"/>
          <w:szCs w:val="20"/>
        </w:rPr>
      </w:pPr>
      <w:bookmarkStart w:id="60" w:name="_ENREF_43"/>
      <w:r w:rsidRPr="00143509">
        <w:rPr>
          <w:rFonts w:asciiTheme="minorHAnsi" w:hAnsiTheme="minorHAnsi" w:cstheme="minorHAnsi"/>
          <w:szCs w:val="20"/>
        </w:rPr>
        <w:t>43.</w:t>
      </w:r>
      <w:r w:rsidRPr="00143509">
        <w:rPr>
          <w:rFonts w:asciiTheme="minorHAnsi" w:hAnsiTheme="minorHAnsi" w:cstheme="minorHAnsi"/>
          <w:szCs w:val="20"/>
        </w:rPr>
        <w:tab/>
        <w:t xml:space="preserve">Huda FA, Ford E, Deshpande A, et al. Strengthening health system capacity to monitor and evaluate programmes targeted at reducing abortion-related maternal mortality. </w:t>
      </w:r>
      <w:r w:rsidRPr="00143509">
        <w:rPr>
          <w:rFonts w:asciiTheme="minorHAnsi" w:hAnsiTheme="minorHAnsi" w:cstheme="minorHAnsi"/>
          <w:i/>
          <w:szCs w:val="20"/>
        </w:rPr>
        <w:t>Dhaka: International Centre for Diarrhoeal Disease Research, Bangladesh</w:t>
      </w:r>
      <w:r w:rsidRPr="00143509">
        <w:rPr>
          <w:rFonts w:asciiTheme="minorHAnsi" w:hAnsiTheme="minorHAnsi" w:cstheme="minorHAnsi"/>
          <w:szCs w:val="20"/>
        </w:rPr>
        <w:t xml:space="preserve"> 2010.</w:t>
      </w:r>
      <w:bookmarkEnd w:id="60"/>
    </w:p>
    <w:p w:rsidR="00022EA6" w:rsidRPr="00143509" w:rsidRDefault="00022EA6" w:rsidP="00FE4BAE">
      <w:pPr>
        <w:pStyle w:val="EndNoteBibliography"/>
        <w:spacing w:after="0"/>
        <w:rPr>
          <w:rFonts w:asciiTheme="minorHAnsi" w:hAnsiTheme="minorHAnsi" w:cstheme="minorHAnsi"/>
          <w:szCs w:val="20"/>
        </w:rPr>
      </w:pPr>
      <w:bookmarkStart w:id="61" w:name="_ENREF_44"/>
      <w:r w:rsidRPr="00143509">
        <w:rPr>
          <w:rFonts w:asciiTheme="minorHAnsi" w:hAnsiTheme="minorHAnsi" w:cstheme="minorHAnsi"/>
          <w:szCs w:val="20"/>
        </w:rPr>
        <w:t>44.</w:t>
      </w:r>
      <w:r w:rsidRPr="00143509">
        <w:rPr>
          <w:rFonts w:asciiTheme="minorHAnsi" w:hAnsiTheme="minorHAnsi" w:cstheme="minorHAnsi"/>
          <w:szCs w:val="20"/>
        </w:rPr>
        <w:tab/>
        <w:t xml:space="preserve">Healy J, Otsea K, Benson J. Counting abortions so that abortion counts: Indicators for monitoring the availability and use of abortion care services. </w:t>
      </w:r>
      <w:r w:rsidRPr="00143509">
        <w:rPr>
          <w:rFonts w:asciiTheme="minorHAnsi" w:hAnsiTheme="minorHAnsi" w:cstheme="minorHAnsi"/>
          <w:i/>
          <w:szCs w:val="20"/>
        </w:rPr>
        <w:t>International journal of gynaecology and obstetrics: the official organ of the International Federation of Gynaecology and Obstetrics</w:t>
      </w:r>
      <w:r w:rsidRPr="00143509">
        <w:rPr>
          <w:rFonts w:asciiTheme="minorHAnsi" w:hAnsiTheme="minorHAnsi" w:cstheme="minorHAnsi"/>
          <w:szCs w:val="20"/>
        </w:rPr>
        <w:t xml:space="preserve"> 2006; </w:t>
      </w:r>
      <w:r w:rsidRPr="00143509">
        <w:rPr>
          <w:rFonts w:asciiTheme="minorHAnsi" w:hAnsiTheme="minorHAnsi" w:cstheme="minorHAnsi"/>
          <w:b/>
          <w:szCs w:val="20"/>
        </w:rPr>
        <w:t>95</w:t>
      </w:r>
      <w:r w:rsidRPr="00143509">
        <w:rPr>
          <w:rFonts w:asciiTheme="minorHAnsi" w:hAnsiTheme="minorHAnsi" w:cstheme="minorHAnsi"/>
          <w:szCs w:val="20"/>
        </w:rPr>
        <w:t>(2): 209-20.</w:t>
      </w:r>
      <w:bookmarkEnd w:id="61"/>
    </w:p>
    <w:p w:rsidR="00022EA6" w:rsidRPr="00143509" w:rsidRDefault="00022EA6" w:rsidP="00FE4BAE">
      <w:pPr>
        <w:pStyle w:val="EndNoteBibliography"/>
        <w:spacing w:after="0"/>
        <w:rPr>
          <w:rFonts w:asciiTheme="minorHAnsi" w:hAnsiTheme="minorHAnsi" w:cstheme="minorHAnsi"/>
          <w:szCs w:val="20"/>
        </w:rPr>
      </w:pPr>
      <w:bookmarkStart w:id="62" w:name="_ENREF_45"/>
      <w:r w:rsidRPr="00143509">
        <w:rPr>
          <w:rFonts w:asciiTheme="minorHAnsi" w:hAnsiTheme="minorHAnsi" w:cstheme="minorHAnsi"/>
          <w:szCs w:val="20"/>
        </w:rPr>
        <w:t>45.</w:t>
      </w:r>
      <w:r w:rsidRPr="00143509">
        <w:rPr>
          <w:rFonts w:asciiTheme="minorHAnsi" w:hAnsiTheme="minorHAnsi" w:cstheme="minorHAnsi"/>
          <w:szCs w:val="20"/>
        </w:rPr>
        <w:tab/>
        <w:t xml:space="preserve">Utz B, Siddiqui G, Adegoke A, van den Broek N. Definitions and roles of a skilled birth attendant: a mapping exercise from four South-Asian countries. </w:t>
      </w:r>
      <w:r w:rsidRPr="00143509">
        <w:rPr>
          <w:rFonts w:asciiTheme="minorHAnsi" w:hAnsiTheme="minorHAnsi" w:cstheme="minorHAnsi"/>
          <w:i/>
          <w:szCs w:val="20"/>
        </w:rPr>
        <w:t>Acta obstetricia et gynecologica Scandinavica</w:t>
      </w:r>
      <w:r w:rsidRPr="00143509">
        <w:rPr>
          <w:rFonts w:asciiTheme="minorHAnsi" w:hAnsiTheme="minorHAnsi" w:cstheme="minorHAnsi"/>
          <w:szCs w:val="20"/>
        </w:rPr>
        <w:t xml:space="preserve"> 2013; </w:t>
      </w:r>
      <w:r w:rsidRPr="00143509">
        <w:rPr>
          <w:rFonts w:asciiTheme="minorHAnsi" w:hAnsiTheme="minorHAnsi" w:cstheme="minorHAnsi"/>
          <w:b/>
          <w:szCs w:val="20"/>
        </w:rPr>
        <w:t>92</w:t>
      </w:r>
      <w:r w:rsidRPr="00143509">
        <w:rPr>
          <w:rFonts w:asciiTheme="minorHAnsi" w:hAnsiTheme="minorHAnsi" w:cstheme="minorHAnsi"/>
          <w:szCs w:val="20"/>
        </w:rPr>
        <w:t>(9): 1063-9.</w:t>
      </w:r>
      <w:bookmarkEnd w:id="62"/>
    </w:p>
    <w:p w:rsidR="00022EA6" w:rsidRPr="00143509" w:rsidRDefault="00022EA6" w:rsidP="00FE4BAE">
      <w:pPr>
        <w:pStyle w:val="EndNoteBibliography"/>
        <w:spacing w:after="0"/>
        <w:rPr>
          <w:rFonts w:asciiTheme="minorHAnsi" w:hAnsiTheme="minorHAnsi" w:cstheme="minorHAnsi"/>
          <w:szCs w:val="20"/>
        </w:rPr>
      </w:pPr>
      <w:bookmarkStart w:id="63" w:name="_ENREF_46"/>
      <w:r w:rsidRPr="00143509">
        <w:rPr>
          <w:rFonts w:asciiTheme="minorHAnsi" w:hAnsiTheme="minorHAnsi" w:cstheme="minorHAnsi"/>
          <w:szCs w:val="20"/>
        </w:rPr>
        <w:t>46.</w:t>
      </w:r>
      <w:r w:rsidRPr="00143509">
        <w:rPr>
          <w:rFonts w:asciiTheme="minorHAnsi" w:hAnsiTheme="minorHAnsi" w:cstheme="minorHAnsi"/>
          <w:szCs w:val="20"/>
        </w:rPr>
        <w:tab/>
        <w:t xml:space="preserve">Adegoke A, Utz B, Msuya SE, van den Broek N. Skilled Birth Attendants: who is who? A descriptive study of definitions and roles from nine Sub Saharan African countries. </w:t>
      </w:r>
      <w:r w:rsidRPr="00143509">
        <w:rPr>
          <w:rFonts w:asciiTheme="minorHAnsi" w:hAnsiTheme="minorHAnsi" w:cstheme="minorHAnsi"/>
          <w:i/>
          <w:szCs w:val="20"/>
        </w:rPr>
        <w:t>PloS one</w:t>
      </w:r>
      <w:r w:rsidRPr="00143509">
        <w:rPr>
          <w:rFonts w:asciiTheme="minorHAnsi" w:hAnsiTheme="minorHAnsi" w:cstheme="minorHAnsi"/>
          <w:szCs w:val="20"/>
        </w:rPr>
        <w:t xml:space="preserve"> 2012; </w:t>
      </w:r>
      <w:r w:rsidRPr="00143509">
        <w:rPr>
          <w:rFonts w:asciiTheme="minorHAnsi" w:hAnsiTheme="minorHAnsi" w:cstheme="minorHAnsi"/>
          <w:b/>
          <w:szCs w:val="20"/>
        </w:rPr>
        <w:t>7</w:t>
      </w:r>
      <w:r w:rsidRPr="00143509">
        <w:rPr>
          <w:rFonts w:asciiTheme="minorHAnsi" w:hAnsiTheme="minorHAnsi" w:cstheme="minorHAnsi"/>
          <w:szCs w:val="20"/>
        </w:rPr>
        <w:t>(7): e40220.</w:t>
      </w:r>
      <w:bookmarkEnd w:id="63"/>
    </w:p>
    <w:p w:rsidR="00022EA6" w:rsidRPr="00143509" w:rsidRDefault="00022EA6" w:rsidP="00FE4BAE">
      <w:pPr>
        <w:pStyle w:val="EndNoteBibliography"/>
        <w:spacing w:after="0"/>
        <w:rPr>
          <w:rFonts w:asciiTheme="minorHAnsi" w:hAnsiTheme="minorHAnsi" w:cstheme="minorHAnsi"/>
          <w:szCs w:val="20"/>
        </w:rPr>
      </w:pPr>
      <w:bookmarkStart w:id="64" w:name="_ENREF_47"/>
      <w:r w:rsidRPr="00143509">
        <w:rPr>
          <w:rFonts w:asciiTheme="minorHAnsi" w:hAnsiTheme="minorHAnsi" w:cstheme="minorHAnsi"/>
          <w:szCs w:val="20"/>
        </w:rPr>
        <w:t>47.</w:t>
      </w:r>
      <w:r w:rsidRPr="00143509">
        <w:rPr>
          <w:rFonts w:asciiTheme="minorHAnsi" w:hAnsiTheme="minorHAnsi" w:cstheme="minorHAnsi"/>
          <w:szCs w:val="20"/>
        </w:rPr>
        <w:tab/>
        <w:t>World Health Organization. World Health Statistics 2014 Indicator compendium http://www.who.int/gho/publications/world_health_statistics/whs2014_indicatorcompendium.pdf?ua=1 (Accessed December 29, 2014). Geneva: World Health Organization, 2014.</w:t>
      </w:r>
      <w:bookmarkEnd w:id="64"/>
    </w:p>
    <w:p w:rsidR="00022EA6" w:rsidRPr="00143509" w:rsidRDefault="00022EA6" w:rsidP="00FE4BAE">
      <w:pPr>
        <w:pStyle w:val="EndNoteBibliography"/>
        <w:spacing w:after="0"/>
        <w:rPr>
          <w:rFonts w:asciiTheme="minorHAnsi" w:hAnsiTheme="minorHAnsi" w:cstheme="minorHAnsi"/>
          <w:szCs w:val="20"/>
        </w:rPr>
      </w:pPr>
      <w:bookmarkStart w:id="65" w:name="_ENREF_48"/>
      <w:r w:rsidRPr="00143509">
        <w:rPr>
          <w:rFonts w:asciiTheme="minorHAnsi" w:hAnsiTheme="minorHAnsi" w:cstheme="minorHAnsi"/>
          <w:szCs w:val="20"/>
        </w:rPr>
        <w:t>48.</w:t>
      </w:r>
      <w:r w:rsidRPr="00143509">
        <w:rPr>
          <w:rFonts w:asciiTheme="minorHAnsi" w:hAnsiTheme="minorHAnsi" w:cstheme="minorHAnsi"/>
          <w:szCs w:val="20"/>
        </w:rPr>
        <w:tab/>
        <w:t xml:space="preserve">Hodgins S, D'Agostino A. The quality-coverage gap in antenatal care: toward better measurement of effective coverage. </w:t>
      </w:r>
      <w:r w:rsidRPr="00143509">
        <w:rPr>
          <w:rFonts w:asciiTheme="minorHAnsi" w:hAnsiTheme="minorHAnsi" w:cstheme="minorHAnsi"/>
          <w:i/>
          <w:szCs w:val="20"/>
        </w:rPr>
        <w:t>Global health, science and practice</w:t>
      </w:r>
      <w:r w:rsidRPr="00143509">
        <w:rPr>
          <w:rFonts w:asciiTheme="minorHAnsi" w:hAnsiTheme="minorHAnsi" w:cstheme="minorHAnsi"/>
          <w:szCs w:val="20"/>
        </w:rPr>
        <w:t xml:space="preserve"> 2014; </w:t>
      </w:r>
      <w:r w:rsidRPr="00143509">
        <w:rPr>
          <w:rFonts w:asciiTheme="minorHAnsi" w:hAnsiTheme="minorHAnsi" w:cstheme="minorHAnsi"/>
          <w:b/>
          <w:szCs w:val="20"/>
        </w:rPr>
        <w:t>2</w:t>
      </w:r>
      <w:r w:rsidRPr="00143509">
        <w:rPr>
          <w:rFonts w:asciiTheme="minorHAnsi" w:hAnsiTheme="minorHAnsi" w:cstheme="minorHAnsi"/>
          <w:szCs w:val="20"/>
        </w:rPr>
        <w:t>(2): 173-81.</w:t>
      </w:r>
      <w:bookmarkEnd w:id="65"/>
    </w:p>
    <w:p w:rsidR="00022EA6" w:rsidRPr="00143509" w:rsidRDefault="00022EA6" w:rsidP="00FE4BAE">
      <w:pPr>
        <w:pStyle w:val="EndNoteBibliography"/>
        <w:spacing w:after="0"/>
        <w:rPr>
          <w:rFonts w:asciiTheme="minorHAnsi" w:hAnsiTheme="minorHAnsi" w:cstheme="minorHAnsi"/>
          <w:szCs w:val="20"/>
        </w:rPr>
      </w:pPr>
      <w:bookmarkStart w:id="66" w:name="_ENREF_49"/>
      <w:r w:rsidRPr="00143509">
        <w:rPr>
          <w:rFonts w:asciiTheme="minorHAnsi" w:hAnsiTheme="minorHAnsi" w:cstheme="minorHAnsi"/>
          <w:szCs w:val="20"/>
        </w:rPr>
        <w:t>49.</w:t>
      </w:r>
      <w:r w:rsidRPr="00143509">
        <w:rPr>
          <w:rFonts w:asciiTheme="minorHAnsi" w:hAnsiTheme="minorHAnsi" w:cstheme="minorHAnsi"/>
          <w:szCs w:val="20"/>
        </w:rPr>
        <w:tab/>
        <w:t xml:space="preserve">Campbell OMR, Benova L, MacLeod D, et al. Maternal services: Private Sector Coverage &amp; Inequalities in 57 countries. </w:t>
      </w:r>
      <w:r w:rsidRPr="00143509">
        <w:rPr>
          <w:rFonts w:asciiTheme="minorHAnsi" w:hAnsiTheme="minorHAnsi" w:cstheme="minorHAnsi"/>
          <w:i/>
          <w:szCs w:val="20"/>
        </w:rPr>
        <w:t>Bulletin of the WHO</w:t>
      </w:r>
      <w:r w:rsidRPr="00143509">
        <w:rPr>
          <w:rFonts w:asciiTheme="minorHAnsi" w:hAnsiTheme="minorHAnsi" w:cstheme="minorHAnsi"/>
          <w:szCs w:val="20"/>
        </w:rPr>
        <w:t xml:space="preserve"> Submitted.</w:t>
      </w:r>
      <w:bookmarkEnd w:id="66"/>
    </w:p>
    <w:p w:rsidR="00022EA6" w:rsidRPr="00143509" w:rsidRDefault="00022EA6" w:rsidP="00FE4BAE">
      <w:pPr>
        <w:pStyle w:val="EndNoteBibliography"/>
        <w:spacing w:after="0"/>
        <w:rPr>
          <w:rFonts w:asciiTheme="minorHAnsi" w:hAnsiTheme="minorHAnsi" w:cstheme="minorHAnsi"/>
          <w:szCs w:val="20"/>
        </w:rPr>
      </w:pPr>
      <w:bookmarkStart w:id="67" w:name="_ENREF_50"/>
      <w:r w:rsidRPr="00143509">
        <w:rPr>
          <w:rFonts w:asciiTheme="minorHAnsi" w:hAnsiTheme="minorHAnsi" w:cstheme="minorHAnsi"/>
          <w:szCs w:val="20"/>
        </w:rPr>
        <w:lastRenderedPageBreak/>
        <w:t>50.</w:t>
      </w:r>
      <w:r w:rsidRPr="00143509">
        <w:rPr>
          <w:rFonts w:asciiTheme="minorHAnsi" w:hAnsiTheme="minorHAnsi" w:cstheme="minorHAnsi"/>
          <w:szCs w:val="20"/>
        </w:rPr>
        <w:tab/>
        <w:t xml:space="preserve">Anastasi E, Borchert M, Campbell OM, et al. Losing women along the path to safe motherhood: why is there such a gap between women's use of antenatal care and skilled birth attendance? A mixed methods study in northern Uganda. </w:t>
      </w:r>
      <w:r w:rsidRPr="00143509">
        <w:rPr>
          <w:rFonts w:asciiTheme="minorHAnsi" w:hAnsiTheme="minorHAnsi" w:cstheme="minorHAnsi"/>
          <w:i/>
          <w:szCs w:val="20"/>
        </w:rPr>
        <w:t>BMC Pregnancy Childbirth</w:t>
      </w:r>
      <w:r w:rsidRPr="00143509">
        <w:rPr>
          <w:rFonts w:asciiTheme="minorHAnsi" w:hAnsiTheme="minorHAnsi" w:cstheme="minorHAnsi"/>
          <w:szCs w:val="20"/>
        </w:rPr>
        <w:t xml:space="preserve"> 2015; </w:t>
      </w:r>
      <w:r w:rsidRPr="00143509">
        <w:rPr>
          <w:rFonts w:asciiTheme="minorHAnsi" w:hAnsiTheme="minorHAnsi" w:cstheme="minorHAnsi"/>
          <w:b/>
          <w:szCs w:val="20"/>
        </w:rPr>
        <w:t>15</w:t>
      </w:r>
      <w:r w:rsidRPr="00143509">
        <w:rPr>
          <w:rFonts w:asciiTheme="minorHAnsi" w:hAnsiTheme="minorHAnsi" w:cstheme="minorHAnsi"/>
          <w:szCs w:val="20"/>
        </w:rPr>
        <w:t>: 287.</w:t>
      </w:r>
      <w:bookmarkEnd w:id="67"/>
    </w:p>
    <w:p w:rsidR="00022EA6" w:rsidRPr="00143509" w:rsidRDefault="00022EA6" w:rsidP="00FE4BAE">
      <w:pPr>
        <w:pStyle w:val="EndNoteBibliography"/>
        <w:spacing w:after="0"/>
        <w:rPr>
          <w:rFonts w:asciiTheme="minorHAnsi" w:hAnsiTheme="minorHAnsi" w:cstheme="minorHAnsi"/>
          <w:szCs w:val="20"/>
        </w:rPr>
      </w:pPr>
      <w:bookmarkStart w:id="68" w:name="_ENREF_51"/>
      <w:r w:rsidRPr="00143509">
        <w:rPr>
          <w:rFonts w:asciiTheme="minorHAnsi" w:hAnsiTheme="minorHAnsi" w:cstheme="minorHAnsi"/>
          <w:szCs w:val="20"/>
        </w:rPr>
        <w:t>51.</w:t>
      </w:r>
      <w:r w:rsidRPr="00143509">
        <w:rPr>
          <w:rFonts w:asciiTheme="minorHAnsi" w:hAnsiTheme="minorHAnsi" w:cstheme="minorHAnsi"/>
          <w:szCs w:val="20"/>
        </w:rPr>
        <w:tab/>
        <w:t>United Nations Inter-agency and Expert Group on MDG Indicators. The Millennium Development Goals Report 2014. New York: United Nations, 2014.</w:t>
      </w:r>
      <w:bookmarkEnd w:id="68"/>
    </w:p>
    <w:p w:rsidR="00022EA6" w:rsidRPr="00143509" w:rsidRDefault="00022EA6" w:rsidP="00FE4BAE">
      <w:pPr>
        <w:pStyle w:val="EndNoteBibliography"/>
        <w:spacing w:after="0"/>
        <w:rPr>
          <w:rFonts w:asciiTheme="minorHAnsi" w:hAnsiTheme="minorHAnsi" w:cstheme="minorHAnsi"/>
          <w:szCs w:val="20"/>
        </w:rPr>
      </w:pPr>
      <w:bookmarkStart w:id="69" w:name="_ENREF_52"/>
      <w:r w:rsidRPr="00143509">
        <w:rPr>
          <w:rFonts w:asciiTheme="minorHAnsi" w:hAnsiTheme="minorHAnsi" w:cstheme="minorHAnsi"/>
          <w:szCs w:val="20"/>
        </w:rPr>
        <w:t>52.</w:t>
      </w:r>
      <w:r w:rsidRPr="00143509">
        <w:rPr>
          <w:rFonts w:asciiTheme="minorHAnsi" w:hAnsiTheme="minorHAnsi" w:cstheme="minorHAnsi"/>
          <w:szCs w:val="20"/>
        </w:rPr>
        <w:tab/>
        <w:t>World Health Organization. World health statistics 2015. Geneva: World Health Organization, 2015.</w:t>
      </w:r>
      <w:bookmarkEnd w:id="69"/>
    </w:p>
    <w:p w:rsidR="00022EA6" w:rsidRPr="00143509" w:rsidRDefault="00022EA6" w:rsidP="00FE4BAE">
      <w:pPr>
        <w:pStyle w:val="EndNoteBibliography"/>
        <w:spacing w:after="0"/>
        <w:rPr>
          <w:rFonts w:asciiTheme="minorHAnsi" w:hAnsiTheme="minorHAnsi" w:cstheme="minorHAnsi"/>
          <w:szCs w:val="20"/>
        </w:rPr>
      </w:pPr>
      <w:bookmarkStart w:id="70" w:name="_ENREF_53"/>
      <w:r w:rsidRPr="00143509">
        <w:rPr>
          <w:rFonts w:asciiTheme="minorHAnsi" w:hAnsiTheme="minorHAnsi" w:cstheme="minorHAnsi"/>
          <w:szCs w:val="20"/>
        </w:rPr>
        <w:t>53.</w:t>
      </w:r>
      <w:r w:rsidRPr="00143509">
        <w:rPr>
          <w:rFonts w:asciiTheme="minorHAnsi" w:hAnsiTheme="minorHAnsi" w:cstheme="minorHAnsi"/>
          <w:szCs w:val="20"/>
        </w:rPr>
        <w:tab/>
        <w:t xml:space="preserve">Powell-Jackson T, Macleod D, Benova L, Lynch C, Campbell OM. The role of the private sector in the provision of antenatal care: a study of Demographic and Health Surveys from 46 low- and middle-income countries. </w:t>
      </w:r>
      <w:r w:rsidRPr="00143509">
        <w:rPr>
          <w:rFonts w:asciiTheme="minorHAnsi" w:hAnsiTheme="minorHAnsi" w:cstheme="minorHAnsi"/>
          <w:i/>
          <w:szCs w:val="20"/>
        </w:rPr>
        <w:t>Tropical medicine &amp; international health : TM &amp; IH</w:t>
      </w:r>
      <w:r w:rsidRPr="00143509">
        <w:rPr>
          <w:rFonts w:asciiTheme="minorHAnsi" w:hAnsiTheme="minorHAnsi" w:cstheme="minorHAnsi"/>
          <w:szCs w:val="20"/>
        </w:rPr>
        <w:t xml:space="preserve"> 2015; </w:t>
      </w:r>
      <w:r w:rsidRPr="00143509">
        <w:rPr>
          <w:rFonts w:asciiTheme="minorHAnsi" w:hAnsiTheme="minorHAnsi" w:cstheme="minorHAnsi"/>
          <w:b/>
          <w:szCs w:val="20"/>
        </w:rPr>
        <w:t>20</w:t>
      </w:r>
      <w:r w:rsidRPr="00143509">
        <w:rPr>
          <w:rFonts w:asciiTheme="minorHAnsi" w:hAnsiTheme="minorHAnsi" w:cstheme="minorHAnsi"/>
          <w:szCs w:val="20"/>
        </w:rPr>
        <w:t>(2): 230-9.</w:t>
      </w:r>
      <w:bookmarkEnd w:id="70"/>
    </w:p>
    <w:p w:rsidR="00022EA6" w:rsidRPr="00143509" w:rsidRDefault="00022EA6" w:rsidP="00FE4BAE">
      <w:pPr>
        <w:pStyle w:val="EndNoteBibliography"/>
        <w:spacing w:after="0"/>
        <w:rPr>
          <w:rFonts w:asciiTheme="minorHAnsi" w:hAnsiTheme="minorHAnsi" w:cstheme="minorHAnsi"/>
          <w:szCs w:val="20"/>
        </w:rPr>
      </w:pPr>
      <w:bookmarkStart w:id="71" w:name="_ENREF_54"/>
      <w:r w:rsidRPr="00143509">
        <w:rPr>
          <w:rFonts w:asciiTheme="minorHAnsi" w:hAnsiTheme="minorHAnsi" w:cstheme="minorHAnsi"/>
          <w:szCs w:val="20"/>
        </w:rPr>
        <w:t>54.</w:t>
      </w:r>
      <w:r w:rsidRPr="00143509">
        <w:rPr>
          <w:rFonts w:asciiTheme="minorHAnsi" w:hAnsiTheme="minorHAnsi" w:cstheme="minorHAnsi"/>
          <w:szCs w:val="20"/>
        </w:rPr>
        <w:tab/>
        <w:t>FEDERAL MINISTRY OF HEALTH OF ETHIOPIA, UNICEF, UNFPA, WHO, AMDD. National Baseline Assessment for Emergency Obstetric &amp; Newborn Care Ethiopia 2008, 2009.</w:t>
      </w:r>
      <w:bookmarkEnd w:id="71"/>
    </w:p>
    <w:p w:rsidR="00022EA6" w:rsidRPr="00143509" w:rsidRDefault="00022EA6" w:rsidP="00FE4BAE">
      <w:pPr>
        <w:pStyle w:val="EndNoteBibliography"/>
        <w:spacing w:after="0"/>
        <w:rPr>
          <w:rFonts w:asciiTheme="minorHAnsi" w:hAnsiTheme="minorHAnsi" w:cstheme="minorHAnsi"/>
          <w:szCs w:val="20"/>
        </w:rPr>
      </w:pPr>
      <w:bookmarkStart w:id="72" w:name="_ENREF_55"/>
      <w:r w:rsidRPr="00143509">
        <w:rPr>
          <w:rFonts w:asciiTheme="minorHAnsi" w:hAnsiTheme="minorHAnsi" w:cstheme="minorHAnsi"/>
          <w:szCs w:val="20"/>
        </w:rPr>
        <w:t>55.</w:t>
      </w:r>
      <w:r w:rsidRPr="00143509">
        <w:rPr>
          <w:rFonts w:asciiTheme="minorHAnsi" w:hAnsiTheme="minorHAnsi" w:cstheme="minorHAnsi"/>
          <w:szCs w:val="20"/>
        </w:rPr>
        <w:tab/>
        <w:t>Countdown to 2015. Coutndown to  2015: Countdown data. 2014. http://www.countdown2015mnch.org/about-countdown/countdown-data (accessed 6 September 2015.</w:t>
      </w:r>
      <w:bookmarkEnd w:id="72"/>
    </w:p>
    <w:p w:rsidR="00022EA6" w:rsidRPr="00143509" w:rsidRDefault="00022EA6" w:rsidP="00FE4BAE">
      <w:pPr>
        <w:pStyle w:val="EndNoteBibliography"/>
        <w:spacing w:after="0"/>
        <w:rPr>
          <w:rFonts w:asciiTheme="minorHAnsi" w:hAnsiTheme="minorHAnsi" w:cstheme="minorHAnsi"/>
          <w:szCs w:val="20"/>
        </w:rPr>
      </w:pPr>
      <w:bookmarkStart w:id="73" w:name="_ENREF_56"/>
      <w:r w:rsidRPr="00143509">
        <w:rPr>
          <w:rFonts w:asciiTheme="minorHAnsi" w:hAnsiTheme="minorHAnsi" w:cstheme="minorHAnsi"/>
          <w:szCs w:val="20"/>
        </w:rPr>
        <w:t>56.</w:t>
      </w:r>
      <w:r w:rsidRPr="00143509">
        <w:rPr>
          <w:rFonts w:asciiTheme="minorHAnsi" w:hAnsiTheme="minorHAnsi" w:cstheme="minorHAnsi"/>
          <w:szCs w:val="20"/>
        </w:rPr>
        <w:tab/>
        <w:t xml:space="preserve">Moran AC, Kerber K, Sitrin D, et al. Measuring Coverage in MNCH: Indicators for Global Tracking of Newborn Care. </w:t>
      </w:r>
      <w:r w:rsidRPr="00143509">
        <w:rPr>
          <w:rFonts w:asciiTheme="minorHAnsi" w:hAnsiTheme="minorHAnsi" w:cstheme="minorHAnsi"/>
          <w:i/>
          <w:szCs w:val="20"/>
        </w:rPr>
        <w:t>PLoS medicine</w:t>
      </w:r>
      <w:r w:rsidRPr="00143509">
        <w:rPr>
          <w:rFonts w:asciiTheme="minorHAnsi" w:hAnsiTheme="minorHAnsi" w:cstheme="minorHAnsi"/>
          <w:szCs w:val="20"/>
        </w:rPr>
        <w:t xml:space="preserve"> 2013; </w:t>
      </w:r>
      <w:r w:rsidRPr="00143509">
        <w:rPr>
          <w:rFonts w:asciiTheme="minorHAnsi" w:hAnsiTheme="minorHAnsi" w:cstheme="minorHAnsi"/>
          <w:b/>
          <w:szCs w:val="20"/>
        </w:rPr>
        <w:t>10</w:t>
      </w:r>
      <w:r w:rsidRPr="00143509">
        <w:rPr>
          <w:rFonts w:asciiTheme="minorHAnsi" w:hAnsiTheme="minorHAnsi" w:cstheme="minorHAnsi"/>
          <w:szCs w:val="20"/>
        </w:rPr>
        <w:t>(5): e1001415.</w:t>
      </w:r>
      <w:bookmarkEnd w:id="73"/>
    </w:p>
    <w:p w:rsidR="00022EA6" w:rsidRPr="00143509" w:rsidRDefault="00022EA6" w:rsidP="00FE4BAE">
      <w:pPr>
        <w:pStyle w:val="EndNoteBibliography"/>
        <w:spacing w:after="0"/>
        <w:rPr>
          <w:rFonts w:asciiTheme="minorHAnsi" w:hAnsiTheme="minorHAnsi" w:cstheme="minorHAnsi"/>
          <w:szCs w:val="20"/>
        </w:rPr>
      </w:pPr>
      <w:bookmarkStart w:id="74" w:name="_ENREF_57"/>
      <w:r w:rsidRPr="00143509">
        <w:rPr>
          <w:rFonts w:asciiTheme="minorHAnsi" w:hAnsiTheme="minorHAnsi" w:cstheme="minorHAnsi"/>
          <w:szCs w:val="20"/>
        </w:rPr>
        <w:t>57.</w:t>
      </w:r>
      <w:r w:rsidRPr="00143509">
        <w:rPr>
          <w:rFonts w:asciiTheme="minorHAnsi" w:hAnsiTheme="minorHAnsi" w:cstheme="minorHAnsi"/>
          <w:szCs w:val="20"/>
        </w:rPr>
        <w:tab/>
        <w:t>MBBRACE-UK. Saving Lives, Improving Mothers's Care; surveillance of maternal deaths in the UK 2011-13 and lessons learned to inform maternity care from the UK and Ireland Confidential Enquiries into maternal deaths and morbidity 2009-13. Oxford: University of Oxford, 2015.</w:t>
      </w:r>
      <w:bookmarkEnd w:id="74"/>
    </w:p>
    <w:p w:rsidR="00022EA6" w:rsidRPr="00143509" w:rsidRDefault="00022EA6" w:rsidP="00FE4BAE">
      <w:pPr>
        <w:pStyle w:val="EndNoteBibliography"/>
        <w:spacing w:after="0"/>
        <w:rPr>
          <w:rFonts w:asciiTheme="minorHAnsi" w:hAnsiTheme="minorHAnsi" w:cstheme="minorHAnsi"/>
          <w:szCs w:val="20"/>
        </w:rPr>
      </w:pPr>
      <w:bookmarkStart w:id="75" w:name="_ENREF_58"/>
      <w:r w:rsidRPr="00143509">
        <w:rPr>
          <w:rFonts w:asciiTheme="minorHAnsi" w:hAnsiTheme="minorHAnsi" w:cstheme="minorHAnsi"/>
          <w:szCs w:val="20"/>
        </w:rPr>
        <w:t>58.</w:t>
      </w:r>
      <w:r w:rsidRPr="00143509">
        <w:rPr>
          <w:rFonts w:asciiTheme="minorHAnsi" w:hAnsiTheme="minorHAnsi" w:cstheme="minorHAnsi"/>
          <w:szCs w:val="20"/>
        </w:rPr>
        <w:tab/>
        <w:t xml:space="preserve">Benova L, Macleod D, Footman K, Cavallaro F, Lynch CA, Campbell OMR. Role of the private sector in childbirth care: cross-sectional survey evidence from 57 low- and middle-income countries using Demographic and Health Surveys. </w:t>
      </w:r>
      <w:r w:rsidRPr="00143509">
        <w:rPr>
          <w:rFonts w:asciiTheme="minorHAnsi" w:hAnsiTheme="minorHAnsi" w:cstheme="minorHAnsi"/>
          <w:i/>
          <w:szCs w:val="20"/>
        </w:rPr>
        <w:t>Tropical Medicine &amp; International Health</w:t>
      </w:r>
      <w:r w:rsidRPr="00143509">
        <w:rPr>
          <w:rFonts w:asciiTheme="minorHAnsi" w:hAnsiTheme="minorHAnsi" w:cstheme="minorHAnsi"/>
          <w:szCs w:val="20"/>
        </w:rPr>
        <w:t xml:space="preserve"> 2015: n/a-n/a.</w:t>
      </w:r>
      <w:bookmarkEnd w:id="75"/>
    </w:p>
    <w:p w:rsidR="00022EA6" w:rsidRPr="00143509" w:rsidRDefault="00022EA6" w:rsidP="00FE4BAE">
      <w:pPr>
        <w:pStyle w:val="EndNoteBibliography"/>
        <w:rPr>
          <w:rFonts w:asciiTheme="minorHAnsi" w:hAnsiTheme="minorHAnsi" w:cstheme="minorHAnsi"/>
          <w:szCs w:val="20"/>
        </w:rPr>
      </w:pPr>
      <w:bookmarkStart w:id="76" w:name="_ENREF_59"/>
      <w:r w:rsidRPr="00143509">
        <w:rPr>
          <w:rFonts w:asciiTheme="minorHAnsi" w:hAnsiTheme="minorHAnsi" w:cstheme="minorHAnsi"/>
          <w:szCs w:val="20"/>
        </w:rPr>
        <w:t>59.</w:t>
      </w:r>
      <w:r w:rsidRPr="00143509">
        <w:rPr>
          <w:rFonts w:asciiTheme="minorHAnsi" w:hAnsiTheme="minorHAnsi" w:cstheme="minorHAnsi"/>
          <w:szCs w:val="20"/>
        </w:rPr>
        <w:tab/>
        <w:t>World Health Organization. Proportion of births attended by a skilled health worker 2008 updates Geneva: World Health Organization, 2008.</w:t>
      </w:r>
      <w:bookmarkEnd w:id="76"/>
    </w:p>
    <w:p w:rsidR="00022EA6" w:rsidRPr="00143509" w:rsidRDefault="00022EA6" w:rsidP="00FE4BAE">
      <w:pPr>
        <w:pStyle w:val="Heading1"/>
        <w:rPr>
          <w:rFonts w:cstheme="minorHAnsi"/>
          <w:b w:val="0"/>
          <w:sz w:val="20"/>
          <w:szCs w:val="20"/>
        </w:rPr>
      </w:pPr>
      <w:r w:rsidRPr="00143509">
        <w:rPr>
          <w:rFonts w:cstheme="minorHAnsi"/>
          <w:b w:val="0"/>
          <w:sz w:val="20"/>
          <w:szCs w:val="20"/>
        </w:rPr>
        <w:t xml:space="preserve"> </w:t>
      </w:r>
    </w:p>
    <w:p w:rsidR="00022EA6" w:rsidRPr="00143509" w:rsidRDefault="00022EA6" w:rsidP="00FE4BAE">
      <w:pPr>
        <w:rPr>
          <w:rFonts w:asciiTheme="minorHAnsi" w:hAnsiTheme="minorHAnsi" w:cstheme="minorHAnsi"/>
          <w:szCs w:val="20"/>
        </w:rPr>
      </w:pPr>
    </w:p>
    <w:p w:rsidR="00FE4BAE" w:rsidRPr="00143509" w:rsidRDefault="00FE4BAE">
      <w:pPr>
        <w:rPr>
          <w:rFonts w:asciiTheme="minorHAnsi" w:hAnsiTheme="minorHAnsi" w:cstheme="minorHAnsi"/>
          <w:szCs w:val="20"/>
        </w:rPr>
      </w:pPr>
    </w:p>
    <w:sectPr w:rsidR="00FE4BAE" w:rsidRPr="00143509" w:rsidSect="00FE4BAE">
      <w:footerReference w:type="default" r:id="rId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AE" w:rsidRDefault="00FE4BAE">
      <w:pPr>
        <w:spacing w:after="0" w:line="240" w:lineRule="auto"/>
      </w:pPr>
      <w:r>
        <w:separator/>
      </w:r>
    </w:p>
  </w:endnote>
  <w:endnote w:type="continuationSeparator" w:id="0">
    <w:p w:rsidR="00FE4BAE" w:rsidRDefault="00FE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HelveticaNeue-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465390"/>
      <w:docPartObj>
        <w:docPartGallery w:val="Page Numbers (Bottom of Page)"/>
        <w:docPartUnique/>
      </w:docPartObj>
    </w:sdtPr>
    <w:sdtEndPr>
      <w:rPr>
        <w:noProof/>
      </w:rPr>
    </w:sdtEndPr>
    <w:sdtContent>
      <w:p w:rsidR="00A324D9" w:rsidRDefault="00A324D9">
        <w:pPr>
          <w:pStyle w:val="Footer"/>
          <w:jc w:val="right"/>
        </w:pPr>
        <w:r>
          <w:fldChar w:fldCharType="begin"/>
        </w:r>
        <w:r>
          <w:instrText xml:space="preserve"> PAGE   \* MERGEFORMAT </w:instrText>
        </w:r>
        <w:r>
          <w:fldChar w:fldCharType="separate"/>
        </w:r>
        <w:r w:rsidR="00143509">
          <w:rPr>
            <w:noProof/>
          </w:rPr>
          <w:t>12</w:t>
        </w:r>
        <w:r>
          <w:rPr>
            <w:noProof/>
          </w:rPr>
          <w:fldChar w:fldCharType="end"/>
        </w:r>
      </w:p>
    </w:sdtContent>
  </w:sdt>
  <w:p w:rsidR="00FE4BAE" w:rsidRDefault="00FE4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815515"/>
      <w:docPartObj>
        <w:docPartGallery w:val="Page Numbers (Bottom of Page)"/>
        <w:docPartUnique/>
      </w:docPartObj>
    </w:sdtPr>
    <w:sdtEndPr>
      <w:rPr>
        <w:noProof/>
      </w:rPr>
    </w:sdtEndPr>
    <w:sdtContent>
      <w:p w:rsidR="00FE4BAE" w:rsidRDefault="00FE4BAE">
        <w:pPr>
          <w:pStyle w:val="Footer"/>
          <w:jc w:val="right"/>
        </w:pPr>
        <w:r>
          <w:fldChar w:fldCharType="begin"/>
        </w:r>
        <w:r>
          <w:instrText xml:space="preserve"> PAGE   \* MERGEFORMAT </w:instrText>
        </w:r>
        <w:r>
          <w:fldChar w:fldCharType="separate"/>
        </w:r>
        <w:r w:rsidR="00143509">
          <w:rPr>
            <w:noProof/>
          </w:rPr>
          <w:t>16</w:t>
        </w:r>
        <w:r>
          <w:rPr>
            <w:noProof/>
          </w:rPr>
          <w:fldChar w:fldCharType="end"/>
        </w:r>
      </w:p>
    </w:sdtContent>
  </w:sdt>
  <w:p w:rsidR="00FE4BAE" w:rsidRDefault="00FE4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AE" w:rsidRDefault="00FE4BAE">
      <w:pPr>
        <w:spacing w:after="0" w:line="240" w:lineRule="auto"/>
      </w:pPr>
      <w:r>
        <w:separator/>
      </w:r>
    </w:p>
  </w:footnote>
  <w:footnote w:type="continuationSeparator" w:id="0">
    <w:p w:rsidR="00FE4BAE" w:rsidRDefault="00FE4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F0A82"/>
    <w:multiLevelType w:val="hybridMultilevel"/>
    <w:tmpl w:val="7CBA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F1B27"/>
    <w:multiLevelType w:val="hybridMultilevel"/>
    <w:tmpl w:val="A928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8D694C"/>
    <w:multiLevelType w:val="hybridMultilevel"/>
    <w:tmpl w:val="A5BE1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9E56F73"/>
    <w:multiLevelType w:val="hybridMultilevel"/>
    <w:tmpl w:val="C41E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A7283C"/>
    <w:multiLevelType w:val="hybridMultilevel"/>
    <w:tmpl w:val="A646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501575"/>
    <w:multiLevelType w:val="hybridMultilevel"/>
    <w:tmpl w:val="D4B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C300DD"/>
    <w:multiLevelType w:val="hybridMultilevel"/>
    <w:tmpl w:val="7E10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022EA6"/>
    <w:rsid w:val="00022EA6"/>
    <w:rsid w:val="00143509"/>
    <w:rsid w:val="00200E1C"/>
    <w:rsid w:val="00256FD7"/>
    <w:rsid w:val="00271DCF"/>
    <w:rsid w:val="003616B8"/>
    <w:rsid w:val="00A324D9"/>
    <w:rsid w:val="00A44BFA"/>
    <w:rsid w:val="00B00001"/>
    <w:rsid w:val="00E6048A"/>
    <w:rsid w:val="00E93EDB"/>
    <w:rsid w:val="00F43CF0"/>
    <w:rsid w:val="00FE4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329EA-6375-47A2-A4C7-CC5CDB7B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EA6"/>
    <w:rPr>
      <w:rFonts w:ascii="Times New Roman" w:hAnsi="Times New Roman"/>
      <w:sz w:val="20"/>
    </w:rPr>
  </w:style>
  <w:style w:type="paragraph" w:styleId="Heading1">
    <w:name w:val="heading 1"/>
    <w:basedOn w:val="Normal"/>
    <w:next w:val="Normal"/>
    <w:link w:val="Heading1Char"/>
    <w:uiPriority w:val="9"/>
    <w:qFormat/>
    <w:rsid w:val="00143509"/>
    <w:pPr>
      <w:keepNext/>
      <w:keepLines/>
      <w:spacing w:before="240" w:after="0"/>
      <w:outlineLvl w:val="0"/>
    </w:pPr>
    <w:rPr>
      <w:rFonts w:asciiTheme="minorHAnsi" w:eastAsiaTheme="majorEastAsia" w:hAnsiTheme="minorHAnsi" w:cstheme="majorBidi"/>
      <w:b/>
      <w:sz w:val="24"/>
      <w:szCs w:val="32"/>
      <w:u w:val="single"/>
    </w:rPr>
  </w:style>
  <w:style w:type="paragraph" w:styleId="Heading2">
    <w:name w:val="heading 2"/>
    <w:basedOn w:val="Normal"/>
    <w:next w:val="Normal"/>
    <w:link w:val="Heading2Char"/>
    <w:uiPriority w:val="9"/>
    <w:unhideWhenUsed/>
    <w:qFormat/>
    <w:rsid w:val="00022EA6"/>
    <w:pPr>
      <w:keepNext/>
      <w:keepLines/>
      <w:spacing w:before="40" w:after="0"/>
      <w:outlineLvl w:val="1"/>
    </w:pPr>
    <w:rPr>
      <w:rFonts w:asciiTheme="minorHAnsi" w:eastAsiaTheme="majorEastAsia" w:hAnsiTheme="minorHAnsi"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509"/>
    <w:rPr>
      <w:rFonts w:eastAsiaTheme="majorEastAsia" w:cstheme="majorBidi"/>
      <w:b/>
      <w:sz w:val="24"/>
      <w:szCs w:val="32"/>
      <w:u w:val="single"/>
    </w:rPr>
  </w:style>
  <w:style w:type="character" w:customStyle="1" w:styleId="Heading2Char">
    <w:name w:val="Heading 2 Char"/>
    <w:basedOn w:val="DefaultParagraphFont"/>
    <w:link w:val="Heading2"/>
    <w:uiPriority w:val="9"/>
    <w:rsid w:val="00022EA6"/>
    <w:rPr>
      <w:rFonts w:eastAsiaTheme="majorEastAsia" w:cstheme="majorBidi"/>
      <w:b/>
      <w:sz w:val="24"/>
      <w:szCs w:val="26"/>
    </w:rPr>
  </w:style>
  <w:style w:type="paragraph" w:styleId="Header">
    <w:name w:val="header"/>
    <w:basedOn w:val="Normal"/>
    <w:link w:val="HeaderChar"/>
    <w:uiPriority w:val="99"/>
    <w:unhideWhenUsed/>
    <w:rsid w:val="00022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EA6"/>
    <w:rPr>
      <w:rFonts w:ascii="Times New Roman" w:hAnsi="Times New Roman"/>
      <w:sz w:val="20"/>
    </w:rPr>
  </w:style>
  <w:style w:type="paragraph" w:styleId="Footer">
    <w:name w:val="footer"/>
    <w:basedOn w:val="Normal"/>
    <w:link w:val="FooterChar"/>
    <w:uiPriority w:val="99"/>
    <w:unhideWhenUsed/>
    <w:rsid w:val="00022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EA6"/>
    <w:rPr>
      <w:rFonts w:ascii="Times New Roman" w:hAnsi="Times New Roman"/>
      <w:sz w:val="20"/>
    </w:rPr>
  </w:style>
  <w:style w:type="paragraph" w:styleId="ListParagraph">
    <w:name w:val="List Paragraph"/>
    <w:basedOn w:val="Normal"/>
    <w:uiPriority w:val="34"/>
    <w:qFormat/>
    <w:rsid w:val="00022EA6"/>
    <w:pPr>
      <w:ind w:left="720"/>
      <w:contextualSpacing/>
    </w:pPr>
    <w:rPr>
      <w:rFonts w:asciiTheme="minorHAnsi" w:hAnsiTheme="minorHAnsi"/>
      <w:sz w:val="22"/>
    </w:rPr>
  </w:style>
  <w:style w:type="paragraph" w:styleId="Caption">
    <w:name w:val="caption"/>
    <w:basedOn w:val="Normal"/>
    <w:next w:val="Normal"/>
    <w:uiPriority w:val="35"/>
    <w:unhideWhenUsed/>
    <w:qFormat/>
    <w:rsid w:val="00022EA6"/>
    <w:pPr>
      <w:spacing w:after="200" w:line="240" w:lineRule="auto"/>
    </w:pPr>
    <w:rPr>
      <w:rFonts w:asciiTheme="minorHAnsi" w:hAnsiTheme="minorHAnsi"/>
      <w:b/>
      <w:iCs/>
      <w:sz w:val="18"/>
      <w:szCs w:val="18"/>
    </w:rPr>
  </w:style>
  <w:style w:type="table" w:styleId="TableGrid">
    <w:name w:val="Table Grid"/>
    <w:basedOn w:val="TableNormal"/>
    <w:uiPriority w:val="59"/>
    <w:rsid w:val="0002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2EA6"/>
    <w:rPr>
      <w:i/>
      <w:iCs/>
    </w:rPr>
  </w:style>
  <w:style w:type="character" w:styleId="CommentReference">
    <w:name w:val="annotation reference"/>
    <w:basedOn w:val="DefaultParagraphFont"/>
    <w:uiPriority w:val="99"/>
    <w:semiHidden/>
    <w:unhideWhenUsed/>
    <w:rsid w:val="00022EA6"/>
    <w:rPr>
      <w:sz w:val="16"/>
      <w:szCs w:val="16"/>
    </w:rPr>
  </w:style>
  <w:style w:type="paragraph" w:styleId="CommentText">
    <w:name w:val="annotation text"/>
    <w:basedOn w:val="Normal"/>
    <w:link w:val="CommentTextChar"/>
    <w:uiPriority w:val="99"/>
    <w:unhideWhenUsed/>
    <w:rsid w:val="00022EA6"/>
    <w:pPr>
      <w:spacing w:line="240" w:lineRule="auto"/>
    </w:pPr>
    <w:rPr>
      <w:szCs w:val="20"/>
    </w:rPr>
  </w:style>
  <w:style w:type="character" w:customStyle="1" w:styleId="CommentTextChar">
    <w:name w:val="Comment Text Char"/>
    <w:basedOn w:val="DefaultParagraphFont"/>
    <w:link w:val="CommentText"/>
    <w:uiPriority w:val="99"/>
    <w:rsid w:val="00022E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22EA6"/>
    <w:rPr>
      <w:b/>
      <w:bCs/>
    </w:rPr>
  </w:style>
  <w:style w:type="character" w:customStyle="1" w:styleId="CommentSubjectChar">
    <w:name w:val="Comment Subject Char"/>
    <w:basedOn w:val="CommentTextChar"/>
    <w:link w:val="CommentSubject"/>
    <w:uiPriority w:val="99"/>
    <w:semiHidden/>
    <w:rsid w:val="00022EA6"/>
    <w:rPr>
      <w:rFonts w:ascii="Times New Roman" w:hAnsi="Times New Roman"/>
      <w:b/>
      <w:bCs/>
      <w:sz w:val="20"/>
      <w:szCs w:val="20"/>
    </w:rPr>
  </w:style>
  <w:style w:type="paragraph" w:styleId="BalloonText">
    <w:name w:val="Balloon Text"/>
    <w:basedOn w:val="Normal"/>
    <w:link w:val="BalloonTextChar"/>
    <w:uiPriority w:val="99"/>
    <w:semiHidden/>
    <w:unhideWhenUsed/>
    <w:rsid w:val="00022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EA6"/>
    <w:rPr>
      <w:rFonts w:ascii="Segoe UI" w:hAnsi="Segoe UI" w:cs="Segoe UI"/>
      <w:sz w:val="18"/>
      <w:szCs w:val="18"/>
    </w:rPr>
  </w:style>
  <w:style w:type="paragraph" w:customStyle="1" w:styleId="EndNoteBibliographyTitle">
    <w:name w:val="EndNote Bibliography Title"/>
    <w:basedOn w:val="Normal"/>
    <w:link w:val="EndNoteBibliographyTitleChar"/>
    <w:rsid w:val="00022EA6"/>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22EA6"/>
    <w:rPr>
      <w:rFonts w:ascii="Times New Roman" w:hAnsi="Times New Roman" w:cs="Times New Roman"/>
      <w:noProof/>
      <w:sz w:val="20"/>
      <w:lang w:val="en-US"/>
    </w:rPr>
  </w:style>
  <w:style w:type="paragraph" w:customStyle="1" w:styleId="EndNoteBibliography">
    <w:name w:val="EndNote Bibliography"/>
    <w:basedOn w:val="Normal"/>
    <w:link w:val="EndNoteBibliographyChar"/>
    <w:rsid w:val="00022EA6"/>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022EA6"/>
    <w:rPr>
      <w:rFonts w:ascii="Times New Roman" w:hAnsi="Times New Roman" w:cs="Times New Roman"/>
      <w:noProof/>
      <w:sz w:val="20"/>
      <w:lang w:val="en-US"/>
    </w:rPr>
  </w:style>
  <w:style w:type="character" w:styleId="Hyperlink">
    <w:name w:val="Hyperlink"/>
    <w:basedOn w:val="DefaultParagraphFont"/>
    <w:uiPriority w:val="99"/>
    <w:unhideWhenUsed/>
    <w:rsid w:val="00022EA6"/>
    <w:rPr>
      <w:color w:val="0563C1" w:themeColor="hyperlink"/>
      <w:u w:val="single"/>
    </w:rPr>
  </w:style>
  <w:style w:type="character" w:styleId="FollowedHyperlink">
    <w:name w:val="FollowedHyperlink"/>
    <w:basedOn w:val="DefaultParagraphFont"/>
    <w:uiPriority w:val="99"/>
    <w:semiHidden/>
    <w:unhideWhenUsed/>
    <w:rsid w:val="00022EA6"/>
    <w:rPr>
      <w:color w:val="954F72" w:themeColor="followedHyperlink"/>
      <w:u w:val="single"/>
    </w:rPr>
  </w:style>
  <w:style w:type="character" w:customStyle="1" w:styleId="st">
    <w:name w:val="st"/>
    <w:basedOn w:val="DefaultParagraphFont"/>
    <w:rsid w:val="00022EA6"/>
  </w:style>
  <w:style w:type="paragraph" w:customStyle="1" w:styleId="Default">
    <w:name w:val="Default"/>
    <w:rsid w:val="00022EA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link w:val="NormalWebChar"/>
    <w:uiPriority w:val="99"/>
    <w:unhideWhenUsed/>
    <w:rsid w:val="00022EA6"/>
    <w:pPr>
      <w:spacing w:before="100" w:beforeAutospacing="1" w:after="100" w:afterAutospacing="1" w:line="240" w:lineRule="auto"/>
    </w:pPr>
    <w:rPr>
      <w:rFonts w:eastAsia="Times New Roman" w:cs="Times New Roman"/>
      <w:sz w:val="24"/>
      <w:szCs w:val="24"/>
      <w:lang w:eastAsia="en-GB"/>
    </w:rPr>
  </w:style>
  <w:style w:type="character" w:customStyle="1" w:styleId="NormalWebChar">
    <w:name w:val="Normal (Web) Char"/>
    <w:basedOn w:val="DefaultParagraphFont"/>
    <w:link w:val="NormalWeb"/>
    <w:uiPriority w:val="99"/>
    <w:rsid w:val="00022EA6"/>
    <w:rPr>
      <w:rFonts w:ascii="Times New Roman" w:eastAsia="Times New Roman" w:hAnsi="Times New Roman" w:cs="Times New Roman"/>
      <w:sz w:val="24"/>
      <w:szCs w:val="24"/>
      <w:lang w:eastAsia="en-GB"/>
    </w:rPr>
  </w:style>
  <w:style w:type="paragraph" w:styleId="NoSpacing">
    <w:name w:val="No Spacing"/>
    <w:uiPriority w:val="1"/>
    <w:qFormat/>
    <w:rsid w:val="00022EA6"/>
    <w:pPr>
      <w:spacing w:after="0" w:line="240" w:lineRule="auto"/>
    </w:pPr>
  </w:style>
  <w:style w:type="paragraph" w:styleId="TOCHeading">
    <w:name w:val="TOC Heading"/>
    <w:basedOn w:val="Heading1"/>
    <w:next w:val="Normal"/>
    <w:uiPriority w:val="39"/>
    <w:unhideWhenUsed/>
    <w:qFormat/>
    <w:rsid w:val="00022EA6"/>
    <w:pPr>
      <w:outlineLvl w:val="9"/>
    </w:pPr>
    <w:rPr>
      <w:rFonts w:asciiTheme="majorHAnsi" w:hAnsiTheme="majorHAnsi"/>
      <w:b w:val="0"/>
      <w:color w:val="2E74B5" w:themeColor="accent1" w:themeShade="BF"/>
      <w:sz w:val="32"/>
      <w:u w:val="none"/>
      <w:lang w:val="en-US"/>
    </w:rPr>
  </w:style>
  <w:style w:type="paragraph" w:styleId="TOC1">
    <w:name w:val="toc 1"/>
    <w:basedOn w:val="Normal"/>
    <w:next w:val="Normal"/>
    <w:autoRedefine/>
    <w:uiPriority w:val="39"/>
    <w:unhideWhenUsed/>
    <w:rsid w:val="00022EA6"/>
    <w:pPr>
      <w:spacing w:after="100"/>
    </w:pPr>
  </w:style>
  <w:style w:type="paragraph" w:styleId="TOC2">
    <w:name w:val="toc 2"/>
    <w:basedOn w:val="Normal"/>
    <w:next w:val="Normal"/>
    <w:autoRedefine/>
    <w:uiPriority w:val="39"/>
    <w:unhideWhenUsed/>
    <w:rsid w:val="00022EA6"/>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statcan.gc.ca/cansim/pick-choisir?lang=eng&amp;p2=33&amp;id=1024516" TargetMode="External"/><Relationship Id="rId13" Type="http://schemas.openxmlformats.org/officeDocument/2006/relationships/hyperlink" Target="https://www.destatis.de/EN/FactsFigures/SocietyState/Population/Births/Tables/BirthDeaths.html" TargetMode="External"/><Relationship Id="rId18" Type="http://schemas.openxmlformats.org/officeDocument/2006/relationships/hyperlink" Target="http://data.euro.who.int/hfadb/" TargetMode="External"/><Relationship Id="rId26" Type="http://schemas.openxmlformats.org/officeDocument/2006/relationships/image" Target="media/image3.tif"/><Relationship Id="rId3" Type="http://schemas.openxmlformats.org/officeDocument/2006/relationships/settings" Target="settings.xml"/><Relationship Id="rId21" Type="http://schemas.openxmlformats.org/officeDocument/2006/relationships/hyperlink" Target="http://www.cdc.gov/nchs/data_access/VitalStatsOnline.htm" TargetMode="External"/><Relationship Id="rId7" Type="http://schemas.openxmlformats.org/officeDocument/2006/relationships/hyperlink" Target="http://www.deis.msal.gov.ar/Publicaciones/Archivos/Serie5Nro57.pdf" TargetMode="External"/><Relationship Id="rId12" Type="http://schemas.openxmlformats.org/officeDocument/2006/relationships/hyperlink" Target="https://www.destatis.de/EN/FactsFigures/SocietyState/Health/Hospitals/Tables/HospitalsDeliveriesYears.html" TargetMode="External"/><Relationship Id="rId17" Type="http://schemas.openxmlformats.org/officeDocument/2006/relationships/hyperlink" Target="http://www.sciencedirect.com/science/article/pii/S0266613813002106"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erinatreg.nl/" TargetMode="External"/><Relationship Id="rId20" Type="http://schemas.openxmlformats.org/officeDocument/2006/relationships/hyperlink" Target="http://www.hst.org.za/health-indicators-advanced-search"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82855/Annex_13_Maternity_services_in_France.pdf"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mics.unicef.org/surveys" TargetMode="External"/><Relationship Id="rId23" Type="http://schemas.openxmlformats.org/officeDocument/2006/relationships/image" Target="media/image1.wmf"/><Relationship Id="rId28" Type="http://schemas.openxmlformats.org/officeDocument/2006/relationships/image" Target="media/image5.png"/><Relationship Id="rId10" Type="http://schemas.openxmlformats.org/officeDocument/2006/relationships/hyperlink" Target="http://microdata.worldbank.org/index.php/catalog/979" TargetMode="External"/><Relationship Id="rId19" Type="http://schemas.openxmlformats.org/officeDocument/2006/relationships/hyperlink" Target="http://www.cdc.gov/reproductivehealth/global/publications/surveys/russia/russia-survey-2011-exec-sum.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cs.unicef.org/surveys" TargetMode="External"/><Relationship Id="rId14" Type="http://schemas.openxmlformats.org/officeDocument/2006/relationships/hyperlink" Target="http://www.unicef.org/infobycountry/malaysia_statistics.html" TargetMode="External"/><Relationship Id="rId22" Type="http://schemas.openxmlformats.org/officeDocument/2006/relationships/chart" Target="charts/chart1.xml"/><Relationship Id="rId27" Type="http://schemas.openxmlformats.org/officeDocument/2006/relationships/image" Target="media/image4.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OMEJ\HOMEJ\EPH\EIDEOCAM\Copy%20of%20STATcompilerExport2016215_128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'data for DHS countreis'!$A$2</c:f>
              <c:strCache>
                <c:ptCount val="1"/>
                <c:pt idx="0">
                  <c:v>Bangladesh</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countreis'!$B$2:$AX$2</c:f>
              <c:numCache>
                <c:formatCode>General</c:formatCode>
                <c:ptCount val="49"/>
                <c:pt idx="7">
                  <c:v>3.5</c:v>
                </c:pt>
                <c:pt idx="13">
                  <c:v>4.7</c:v>
                </c:pt>
                <c:pt idx="19">
                  <c:v>8.6999999999999993</c:v>
                </c:pt>
                <c:pt idx="28">
                  <c:v>11.7</c:v>
                </c:pt>
                <c:pt idx="34">
                  <c:v>17.2</c:v>
                </c:pt>
                <c:pt idx="42">
                  <c:v>28.8</c:v>
                </c:pt>
              </c:numCache>
            </c:numRef>
          </c:yVal>
          <c:smooth val="0"/>
        </c:ser>
        <c:ser>
          <c:idx val="1"/>
          <c:order val="1"/>
          <c:tx>
            <c:strRef>
              <c:f>'data for DHS countreis'!$A$3</c:f>
              <c:strCache>
                <c:ptCount val="1"/>
                <c:pt idx="0">
                  <c:v>Cambodia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countreis'!$B$3:$AX$3</c:f>
              <c:numCache>
                <c:formatCode>General</c:formatCode>
                <c:ptCount val="49"/>
                <c:pt idx="20">
                  <c:v>9.8000000000000007</c:v>
                </c:pt>
                <c:pt idx="30">
                  <c:v>24</c:v>
                </c:pt>
                <c:pt idx="40">
                  <c:v>61.8</c:v>
                </c:pt>
                <c:pt idx="48">
                  <c:v>87</c:v>
                </c:pt>
              </c:numCache>
            </c:numRef>
          </c:yVal>
          <c:smooth val="0"/>
        </c:ser>
        <c:ser>
          <c:idx val="2"/>
          <c:order val="2"/>
          <c:tx>
            <c:strRef>
              <c:f>'data for DHS countreis'!$A$4</c:f>
              <c:strCache>
                <c:ptCount val="1"/>
                <c:pt idx="0">
                  <c:v>Chad</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countreis'!$B$4:$AX$4</c:f>
              <c:numCache>
                <c:formatCode>General</c:formatCode>
                <c:ptCount val="49"/>
                <c:pt idx="13">
                  <c:v>11.5</c:v>
                </c:pt>
                <c:pt idx="28">
                  <c:v>13.6</c:v>
                </c:pt>
              </c:numCache>
            </c:numRef>
          </c:yVal>
          <c:smooth val="0"/>
        </c:ser>
        <c:ser>
          <c:idx val="3"/>
          <c:order val="3"/>
          <c:tx>
            <c:strRef>
              <c:f>'data for DHS countreis'!$A$5</c:f>
              <c:strCache>
                <c:ptCount val="1"/>
                <c:pt idx="0">
                  <c:v>Congo Democratic Republic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countreis'!$B$5:$AX$5</c:f>
              <c:numCache>
                <c:formatCode>General</c:formatCode>
                <c:ptCount val="49"/>
                <c:pt idx="34">
                  <c:v>72</c:v>
                </c:pt>
                <c:pt idx="47">
                  <c:v>80.400000000000006</c:v>
                </c:pt>
              </c:numCache>
            </c:numRef>
          </c:yVal>
          <c:smooth val="0"/>
        </c:ser>
        <c:ser>
          <c:idx val="4"/>
          <c:order val="4"/>
          <c:tx>
            <c:strRef>
              <c:f>'data for DHS countreis'!$A$6</c:f>
              <c:strCache>
                <c:ptCount val="1"/>
                <c:pt idx="0">
                  <c:v>Egypt</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countreis'!$B$6:$AX$6</c:f>
              <c:numCache>
                <c:formatCode>General</c:formatCode>
                <c:ptCount val="49"/>
                <c:pt idx="4">
                  <c:v>28.9</c:v>
                </c:pt>
                <c:pt idx="10">
                  <c:v>34.4</c:v>
                </c:pt>
                <c:pt idx="20">
                  <c:v>51.7</c:v>
                </c:pt>
                <c:pt idx="26">
                  <c:v>61.6</c:v>
                </c:pt>
                <c:pt idx="30">
                  <c:v>66.900000000000006</c:v>
                </c:pt>
                <c:pt idx="36">
                  <c:v>73.7</c:v>
                </c:pt>
                <c:pt idx="48">
                  <c:v>88.1</c:v>
                </c:pt>
              </c:numCache>
            </c:numRef>
          </c:yVal>
          <c:smooth val="0"/>
        </c:ser>
        <c:ser>
          <c:idx val="5"/>
          <c:order val="5"/>
          <c:tx>
            <c:strRef>
              <c:f>'data for DHS countreis'!$A$7</c:f>
              <c:strCache>
                <c:ptCount val="1"/>
                <c:pt idx="0">
                  <c:v>Ethiopia</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countreis'!$B$7:$AX$7</c:f>
              <c:numCache>
                <c:formatCode>General</c:formatCode>
                <c:ptCount val="49"/>
                <c:pt idx="20">
                  <c:v>4.9000000000000004</c:v>
                </c:pt>
                <c:pt idx="30">
                  <c:v>5.8</c:v>
                </c:pt>
                <c:pt idx="42">
                  <c:v>11</c:v>
                </c:pt>
                <c:pt idx="48">
                  <c:v>16</c:v>
                </c:pt>
              </c:numCache>
            </c:numRef>
          </c:yVal>
          <c:smooth val="0"/>
        </c:ser>
        <c:ser>
          <c:idx val="6"/>
          <c:order val="6"/>
          <c:tx>
            <c:strRef>
              <c:f>'data for DHS countreis'!$A$8</c:f>
              <c:strCache>
                <c:ptCount val="1"/>
                <c:pt idx="0">
                  <c:v>Ghana</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countreis'!$B$8:$AX$8</c:f>
              <c:numCache>
                <c:formatCode>General</c:formatCode>
                <c:ptCount val="49"/>
                <c:pt idx="6">
                  <c:v>42.1</c:v>
                </c:pt>
                <c:pt idx="16">
                  <c:v>44.2</c:v>
                </c:pt>
                <c:pt idx="26">
                  <c:v>45.1</c:v>
                </c:pt>
                <c:pt idx="36">
                  <c:v>58</c:v>
                </c:pt>
                <c:pt idx="48">
                  <c:v>75.3</c:v>
                </c:pt>
              </c:numCache>
            </c:numRef>
          </c:yVal>
          <c:smooth val="0"/>
        </c:ser>
        <c:ser>
          <c:idx val="7"/>
          <c:order val="7"/>
          <c:tx>
            <c:strRef>
              <c:f>'data for DHS countreis'!$A$9</c:f>
              <c:strCache>
                <c:ptCount val="1"/>
                <c:pt idx="0">
                  <c:v>Haiti</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countreis'!$B$9:$AX$9</c:f>
              <c:numCache>
                <c:formatCode>General</c:formatCode>
                <c:ptCount val="49"/>
                <c:pt idx="9">
                  <c:v>18.3</c:v>
                </c:pt>
                <c:pt idx="20">
                  <c:v>24.5</c:v>
                </c:pt>
                <c:pt idx="31">
                  <c:v>25.8</c:v>
                </c:pt>
                <c:pt idx="44">
                  <c:v>38.1</c:v>
                </c:pt>
              </c:numCache>
            </c:numRef>
          </c:yVal>
          <c:smooth val="0"/>
        </c:ser>
        <c:ser>
          <c:idx val="8"/>
          <c:order val="8"/>
          <c:tx>
            <c:strRef>
              <c:f>'data for DHS countreis'!$A$10</c:f>
              <c:strCache>
                <c:ptCount val="1"/>
                <c:pt idx="0">
                  <c:v>India</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countreis'!$B$10:$AX$10</c:f>
              <c:numCache>
                <c:formatCode>General</c:formatCode>
                <c:ptCount val="49"/>
                <c:pt idx="5">
                  <c:v>26</c:v>
                </c:pt>
                <c:pt idx="17">
                  <c:v>33.6</c:v>
                </c:pt>
                <c:pt idx="31">
                  <c:v>40.799999999999997</c:v>
                </c:pt>
              </c:numCache>
            </c:numRef>
          </c:yVal>
          <c:smooth val="0"/>
        </c:ser>
        <c:ser>
          <c:idx val="9"/>
          <c:order val="9"/>
          <c:tx>
            <c:strRef>
              <c:f>'data for DHS countreis'!$A$11</c:f>
              <c:strCache>
                <c:ptCount val="1"/>
                <c:pt idx="0">
                  <c:v>Indonesia</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countreis'!$B$11:$AX$11</c:f>
              <c:numCache>
                <c:formatCode>General</c:formatCode>
                <c:ptCount val="49"/>
                <c:pt idx="2">
                  <c:v>21</c:v>
                </c:pt>
                <c:pt idx="8">
                  <c:v>18.2</c:v>
                </c:pt>
                <c:pt idx="14">
                  <c:v>21.6</c:v>
                </c:pt>
                <c:pt idx="25">
                  <c:v>42.5</c:v>
                </c:pt>
                <c:pt idx="34">
                  <c:v>48.9</c:v>
                </c:pt>
                <c:pt idx="44">
                  <c:v>66.8</c:v>
                </c:pt>
              </c:numCache>
            </c:numRef>
          </c:yVal>
          <c:smooth val="0"/>
        </c:ser>
        <c:ser>
          <c:idx val="10"/>
          <c:order val="10"/>
          <c:tx>
            <c:strRef>
              <c:f>'data for DHS countreis'!$A$12</c:f>
              <c:strCache>
                <c:ptCount val="1"/>
                <c:pt idx="0">
                  <c:v>Jordan</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countreis'!$B$12:$AX$12</c:f>
              <c:numCache>
                <c:formatCode>General</c:formatCode>
                <c:ptCount val="49"/>
                <c:pt idx="0">
                  <c:v>80.900000000000006</c:v>
                </c:pt>
                <c:pt idx="14">
                  <c:v>94.1</c:v>
                </c:pt>
                <c:pt idx="24">
                  <c:v>96.9</c:v>
                </c:pt>
                <c:pt idx="34">
                  <c:v>98.9</c:v>
                </c:pt>
                <c:pt idx="44">
                  <c:v>98.8</c:v>
                </c:pt>
              </c:numCache>
            </c:numRef>
          </c:yVal>
          <c:smooth val="0"/>
        </c:ser>
        <c:ser>
          <c:idx val="11"/>
          <c:order val="11"/>
          <c:tx>
            <c:strRef>
              <c:f>'data for DHS countreis'!$A$13</c:f>
              <c:strCache>
                <c:ptCount val="1"/>
                <c:pt idx="0">
                  <c:v>Kenya</c:v>
                </c:pt>
              </c:strCache>
            </c:strRef>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countreis'!$B$13:$AX$13</c:f>
              <c:numCache>
                <c:formatCode>General</c:formatCode>
                <c:ptCount val="49"/>
                <c:pt idx="6">
                  <c:v>42.4</c:v>
                </c:pt>
                <c:pt idx="16">
                  <c:v>42.1</c:v>
                </c:pt>
                <c:pt idx="26">
                  <c:v>39.799999999999997</c:v>
                </c:pt>
                <c:pt idx="37">
                  <c:v>43.4</c:v>
                </c:pt>
                <c:pt idx="48">
                  <c:v>64</c:v>
                </c:pt>
              </c:numCache>
            </c:numRef>
          </c:yVal>
          <c:smooth val="0"/>
        </c:ser>
        <c:ser>
          <c:idx val="12"/>
          <c:order val="12"/>
          <c:tx>
            <c:strRef>
              <c:f>'data for DHS countreis'!$A$14</c:f>
              <c:strCache>
                <c:ptCount val="1"/>
                <c:pt idx="0">
                  <c:v>Madagascar</c:v>
                </c:pt>
              </c:strCache>
            </c:strRef>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countreis'!$B$14:$AX$14</c:f>
              <c:numCache>
                <c:formatCode>General</c:formatCode>
                <c:ptCount val="49"/>
                <c:pt idx="4">
                  <c:v>43.8</c:v>
                </c:pt>
                <c:pt idx="14">
                  <c:v>34.200000000000003</c:v>
                </c:pt>
                <c:pt idx="27">
                  <c:v>30.5</c:v>
                </c:pt>
                <c:pt idx="37">
                  <c:v>34.799999999999997</c:v>
                </c:pt>
              </c:numCache>
            </c:numRef>
          </c:yVal>
          <c:smooth val="0"/>
        </c:ser>
        <c:ser>
          <c:idx val="13"/>
          <c:order val="13"/>
          <c:tx>
            <c:strRef>
              <c:f>'data for DHS countreis'!$A$15</c:f>
              <c:strCache>
                <c:ptCount val="1"/>
                <c:pt idx="0">
                  <c:v>Malawi</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countreis'!$B$15:$AX$15</c:f>
              <c:numCache>
                <c:formatCode>General</c:formatCode>
                <c:ptCount val="49"/>
                <c:pt idx="4">
                  <c:v>53.3</c:v>
                </c:pt>
                <c:pt idx="20">
                  <c:v>54.1</c:v>
                </c:pt>
                <c:pt idx="28">
                  <c:v>69.099999999999994</c:v>
                </c:pt>
                <c:pt idx="40">
                  <c:v>75.3</c:v>
                </c:pt>
              </c:numCache>
            </c:numRef>
          </c:yVal>
          <c:smooth val="0"/>
        </c:ser>
        <c:ser>
          <c:idx val="14"/>
          <c:order val="14"/>
          <c:tx>
            <c:strRef>
              <c:f>'data for DHS countreis'!$A$16</c:f>
              <c:strCache>
                <c:ptCount val="1"/>
                <c:pt idx="0">
                  <c:v>Mali</c:v>
                </c:pt>
              </c:strCache>
            </c:strRef>
          </c:tx>
          <c:spPr>
            <a:ln w="19050" cap="rnd">
              <a:solidFill>
                <a:schemeClr val="accent3">
                  <a:lumMod val="80000"/>
                  <a:lumOff val="20000"/>
                </a:schemeClr>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countreis'!$B$16:$AX$16</c:f>
              <c:numCache>
                <c:formatCode>General</c:formatCode>
                <c:ptCount val="49"/>
                <c:pt idx="11">
                  <c:v>30.4</c:v>
                </c:pt>
                <c:pt idx="22">
                  <c:v>38.9</c:v>
                </c:pt>
                <c:pt idx="32">
                  <c:v>47.3</c:v>
                </c:pt>
                <c:pt idx="45">
                  <c:v>57.7</c:v>
                </c:pt>
              </c:numCache>
            </c:numRef>
          </c:yVal>
          <c:smooth val="0"/>
        </c:ser>
        <c:ser>
          <c:idx val="15"/>
          <c:order val="15"/>
          <c:tx>
            <c:strRef>
              <c:f>'data for DHS countreis'!$A$17</c:f>
              <c:strCache>
                <c:ptCount val="1"/>
                <c:pt idx="0">
                  <c:v>Morocco</c:v>
                </c:pt>
              </c:strCache>
            </c:strRef>
          </c:tx>
          <c:spPr>
            <a:ln w="19050" cap="rnd">
              <a:solidFill>
                <a:schemeClr val="accent4">
                  <a:lumMod val="80000"/>
                  <a:lumOff val="20000"/>
                </a:schemeClr>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countreis'!$B$17:$AX$17</c:f>
              <c:numCache>
                <c:formatCode>General</c:formatCode>
                <c:ptCount val="49"/>
                <c:pt idx="4">
                  <c:v>30</c:v>
                </c:pt>
                <c:pt idx="27">
                  <c:v>63.1</c:v>
                </c:pt>
              </c:numCache>
            </c:numRef>
          </c:yVal>
          <c:smooth val="0"/>
        </c:ser>
        <c:ser>
          <c:idx val="16"/>
          <c:order val="16"/>
          <c:tx>
            <c:strRef>
              <c:f>'data for DHS countreis'!$A$18</c:f>
              <c:strCache>
                <c:ptCount val="1"/>
                <c:pt idx="0">
                  <c:v>Mozambique</c:v>
                </c:pt>
              </c:strCache>
            </c:strRef>
          </c:tx>
          <c:spPr>
            <a:ln w="19050" cap="rnd">
              <a:solidFill>
                <a:schemeClr val="accent5">
                  <a:lumMod val="80000"/>
                  <a:lumOff val="20000"/>
                </a:schemeClr>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countreis'!$B$18:$AX$18</c:f>
              <c:numCache>
                <c:formatCode>General</c:formatCode>
                <c:ptCount val="49"/>
                <c:pt idx="14">
                  <c:v>43.7</c:v>
                </c:pt>
                <c:pt idx="26">
                  <c:v>49.1</c:v>
                </c:pt>
                <c:pt idx="42">
                  <c:v>57.2</c:v>
                </c:pt>
              </c:numCache>
            </c:numRef>
          </c:yVal>
          <c:smooth val="0"/>
        </c:ser>
        <c:ser>
          <c:idx val="17"/>
          <c:order val="17"/>
          <c:tx>
            <c:strRef>
              <c:f>'data for DHS countreis'!$A$19</c:f>
              <c:strCache>
                <c:ptCount val="1"/>
                <c:pt idx="0">
                  <c:v>Namibia</c:v>
                </c:pt>
              </c:strCache>
            </c:strRef>
          </c:tx>
          <c:spPr>
            <a:ln w="19050" cap="rnd">
              <a:solidFill>
                <a:schemeClr val="accent6">
                  <a:lumMod val="80000"/>
                  <a:lumOff val="20000"/>
                </a:schemeClr>
              </a:solidFill>
              <a:round/>
            </a:ln>
            <a:effectLst/>
          </c:spPr>
          <c:marker>
            <c:symbol val="circle"/>
            <c:size val="5"/>
            <c:spPr>
              <a:solidFill>
                <a:schemeClr val="accent6">
                  <a:lumMod val="80000"/>
                  <a:lumOff val="20000"/>
                </a:schemeClr>
              </a:solidFill>
              <a:ln w="9525">
                <a:solidFill>
                  <a:schemeClr val="accent6">
                    <a:lumMod val="80000"/>
                    <a:lumOff val="2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countreis'!$B$19:$AX$19</c:f>
              <c:numCache>
                <c:formatCode>General</c:formatCode>
                <c:ptCount val="49"/>
                <c:pt idx="4">
                  <c:v>67.5</c:v>
                </c:pt>
                <c:pt idx="20">
                  <c:v>74.900000000000006</c:v>
                </c:pt>
                <c:pt idx="33">
                  <c:v>81.400000000000006</c:v>
                </c:pt>
                <c:pt idx="46">
                  <c:v>88</c:v>
                </c:pt>
              </c:numCache>
            </c:numRef>
          </c:yVal>
          <c:smooth val="0"/>
        </c:ser>
        <c:ser>
          <c:idx val="18"/>
          <c:order val="18"/>
          <c:tx>
            <c:strRef>
              <c:f>'data for DHS countreis'!$A$20</c:f>
              <c:strCache>
                <c:ptCount val="1"/>
                <c:pt idx="0">
                  <c:v>Nepal</c:v>
                </c:pt>
              </c:strCache>
            </c:strRef>
          </c:tx>
          <c:spPr>
            <a:ln w="19050" cap="rnd">
              <a:solidFill>
                <a:schemeClr val="accent1">
                  <a:lumMod val="80000"/>
                </a:schemeClr>
              </a:solidFill>
              <a:round/>
            </a:ln>
            <a:effectLst/>
          </c:spPr>
          <c:marker>
            <c:symbol val="circle"/>
            <c:size val="5"/>
            <c:spPr>
              <a:solidFill>
                <a:schemeClr val="accent1">
                  <a:lumMod val="80000"/>
                </a:schemeClr>
              </a:solidFill>
              <a:ln w="9525">
                <a:solidFill>
                  <a:schemeClr val="accent1">
                    <a:lumMod val="8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countreis'!$B$20:$AX$20</c:f>
              <c:numCache>
                <c:formatCode>General</c:formatCode>
                <c:ptCount val="49"/>
                <c:pt idx="12">
                  <c:v>7.6</c:v>
                </c:pt>
                <c:pt idx="22">
                  <c:v>9.8000000000000007</c:v>
                </c:pt>
                <c:pt idx="32">
                  <c:v>19.100000000000001</c:v>
                </c:pt>
                <c:pt idx="42">
                  <c:v>40.6</c:v>
                </c:pt>
              </c:numCache>
            </c:numRef>
          </c:yVal>
          <c:smooth val="0"/>
        </c:ser>
        <c:ser>
          <c:idx val="19"/>
          <c:order val="19"/>
          <c:tx>
            <c:strRef>
              <c:f>'data for DHS countreis'!$A$21</c:f>
              <c:strCache>
                <c:ptCount val="1"/>
                <c:pt idx="0">
                  <c:v>Nigeria</c:v>
                </c:pt>
              </c:strCache>
            </c:strRef>
          </c:tx>
          <c:spPr>
            <a:ln w="19050" cap="rnd">
              <a:solidFill>
                <a:schemeClr val="accent2">
                  <a:lumMod val="80000"/>
                </a:schemeClr>
              </a:solidFill>
              <a:round/>
            </a:ln>
            <a:effectLst/>
          </c:spPr>
          <c:marker>
            <c:symbol val="circle"/>
            <c:size val="5"/>
            <c:spPr>
              <a:solidFill>
                <a:schemeClr val="accent2">
                  <a:lumMod val="80000"/>
                </a:schemeClr>
              </a:solidFill>
              <a:ln w="9525">
                <a:solidFill>
                  <a:schemeClr val="accent2">
                    <a:lumMod val="8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countreis'!$B$21:$AX$21</c:f>
              <c:numCache>
                <c:formatCode>General</c:formatCode>
                <c:ptCount val="49"/>
                <c:pt idx="0">
                  <c:v>31.5</c:v>
                </c:pt>
                <c:pt idx="18">
                  <c:v>37.299999999999997</c:v>
                </c:pt>
                <c:pt idx="26">
                  <c:v>35</c:v>
                </c:pt>
                <c:pt idx="36">
                  <c:v>35.4</c:v>
                </c:pt>
                <c:pt idx="46">
                  <c:v>37.200000000000003</c:v>
                </c:pt>
              </c:numCache>
            </c:numRef>
          </c:yVal>
          <c:smooth val="0"/>
        </c:ser>
        <c:ser>
          <c:idx val="20"/>
          <c:order val="20"/>
          <c:tx>
            <c:strRef>
              <c:f>'data for DHS countreis'!$A$22</c:f>
              <c:strCache>
                <c:ptCount val="1"/>
                <c:pt idx="0">
                  <c:v>Pakistan</c:v>
                </c:pt>
              </c:strCache>
            </c:strRef>
          </c:tx>
          <c:spPr>
            <a:ln w="19050" cap="rnd">
              <a:solidFill>
                <a:schemeClr val="accent3">
                  <a:lumMod val="80000"/>
                </a:schemeClr>
              </a:solidFill>
              <a:round/>
            </a:ln>
            <a:effectLst/>
          </c:spPr>
          <c:marker>
            <c:symbol val="circle"/>
            <c:size val="5"/>
            <c:spPr>
              <a:solidFill>
                <a:schemeClr val="accent3">
                  <a:lumMod val="80000"/>
                </a:schemeClr>
              </a:solidFill>
              <a:ln w="9525">
                <a:solidFill>
                  <a:schemeClr val="accent3">
                    <a:lumMod val="8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countreis'!$B$22:$AX$22</c:f>
              <c:numCache>
                <c:formatCode>General</c:formatCode>
                <c:ptCount val="49"/>
                <c:pt idx="1">
                  <c:v>14</c:v>
                </c:pt>
                <c:pt idx="33">
                  <c:v>37.4</c:v>
                </c:pt>
                <c:pt idx="45">
                  <c:v>52.7</c:v>
                </c:pt>
              </c:numCache>
            </c:numRef>
          </c:yVal>
          <c:smooth val="0"/>
        </c:ser>
        <c:ser>
          <c:idx val="21"/>
          <c:order val="21"/>
          <c:tx>
            <c:strRef>
              <c:f>'data for DHS countreis'!$A$23</c:f>
              <c:strCache>
                <c:ptCount val="1"/>
                <c:pt idx="0">
                  <c:v>Peru</c:v>
                </c:pt>
              </c:strCache>
            </c:strRef>
          </c:tx>
          <c:spPr>
            <a:ln w="19050" cap="rnd">
              <a:solidFill>
                <a:schemeClr val="accent4">
                  <a:lumMod val="80000"/>
                </a:schemeClr>
              </a:solidFill>
              <a:round/>
            </a:ln>
            <a:effectLst/>
          </c:spPr>
          <c:marker>
            <c:symbol val="circle"/>
            <c:size val="5"/>
            <c:spPr>
              <a:solidFill>
                <a:schemeClr val="accent4">
                  <a:lumMod val="80000"/>
                </a:schemeClr>
              </a:solidFill>
              <a:ln w="9525">
                <a:solidFill>
                  <a:schemeClr val="accent4">
                    <a:lumMod val="8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countreis'!$B$23:$AX$23</c:f>
              <c:numCache>
                <c:formatCode>General</c:formatCode>
                <c:ptCount val="49"/>
                <c:pt idx="3">
                  <c:v>47.7</c:v>
                </c:pt>
                <c:pt idx="12">
                  <c:v>50.8</c:v>
                </c:pt>
                <c:pt idx="20">
                  <c:v>56.8</c:v>
                </c:pt>
                <c:pt idx="30">
                  <c:v>72.3</c:v>
                </c:pt>
                <c:pt idx="35">
                  <c:v>80</c:v>
                </c:pt>
                <c:pt idx="38">
                  <c:v>82</c:v>
                </c:pt>
                <c:pt idx="40">
                  <c:v>83.5</c:v>
                </c:pt>
                <c:pt idx="42">
                  <c:v>85.1</c:v>
                </c:pt>
                <c:pt idx="44">
                  <c:v>86.5</c:v>
                </c:pt>
              </c:numCache>
            </c:numRef>
          </c:yVal>
          <c:smooth val="0"/>
        </c:ser>
        <c:ser>
          <c:idx val="22"/>
          <c:order val="22"/>
          <c:tx>
            <c:strRef>
              <c:f>'data for DHS countreis'!$A$24</c:f>
              <c:strCache>
                <c:ptCount val="1"/>
                <c:pt idx="0">
                  <c:v>Rwanda</c:v>
                </c:pt>
              </c:strCache>
            </c:strRef>
          </c:tx>
          <c:spPr>
            <a:ln w="19050" cap="rnd">
              <a:solidFill>
                <a:schemeClr val="accent5">
                  <a:lumMod val="80000"/>
                </a:schemeClr>
              </a:solidFill>
              <a:round/>
            </a:ln>
            <a:effectLst/>
          </c:spPr>
          <c:marker>
            <c:symbol val="circle"/>
            <c:size val="5"/>
            <c:spPr>
              <a:solidFill>
                <a:schemeClr val="accent5">
                  <a:lumMod val="80000"/>
                </a:schemeClr>
              </a:solidFill>
              <a:ln w="9525">
                <a:solidFill>
                  <a:schemeClr val="accent5">
                    <a:lumMod val="8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countreis'!$B$24:$AX$24</c:f>
              <c:numCache>
                <c:formatCode>General</c:formatCode>
                <c:ptCount val="49"/>
                <c:pt idx="4">
                  <c:v>26</c:v>
                </c:pt>
                <c:pt idx="20">
                  <c:v>25.5</c:v>
                </c:pt>
                <c:pt idx="30">
                  <c:v>29.3</c:v>
                </c:pt>
                <c:pt idx="35">
                  <c:v>51.9</c:v>
                </c:pt>
                <c:pt idx="40">
                  <c:v>77.099999999999994</c:v>
                </c:pt>
              </c:numCache>
            </c:numRef>
          </c:yVal>
          <c:smooth val="0"/>
        </c:ser>
        <c:ser>
          <c:idx val="23"/>
          <c:order val="23"/>
          <c:tx>
            <c:strRef>
              <c:f>'data for DHS countreis'!$A$25</c:f>
              <c:strCache>
                <c:ptCount val="1"/>
                <c:pt idx="0">
                  <c:v>Senegal</c:v>
                </c:pt>
              </c:strCache>
            </c:strRef>
          </c:tx>
          <c:spPr>
            <a:ln w="19050" cap="rnd">
              <a:solidFill>
                <a:schemeClr val="accent6">
                  <a:lumMod val="80000"/>
                </a:schemeClr>
              </a:solidFill>
              <a:round/>
            </a:ln>
            <a:effectLst/>
          </c:spPr>
          <c:marker>
            <c:symbol val="circle"/>
            <c:size val="5"/>
            <c:spPr>
              <a:solidFill>
                <a:schemeClr val="accent6">
                  <a:lumMod val="80000"/>
                </a:schemeClr>
              </a:solidFill>
              <a:ln w="9525">
                <a:solidFill>
                  <a:schemeClr val="accent6">
                    <a:lumMod val="8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countreis'!$B$25:$AX$25</c:f>
              <c:numCache>
                <c:formatCode>General</c:formatCode>
                <c:ptCount val="49"/>
                <c:pt idx="5">
                  <c:v>47.5</c:v>
                </c:pt>
                <c:pt idx="14">
                  <c:v>48.4</c:v>
                </c:pt>
                <c:pt idx="30">
                  <c:v>63.6</c:v>
                </c:pt>
                <c:pt idx="41">
                  <c:v>72.900000000000006</c:v>
                </c:pt>
                <c:pt idx="45">
                  <c:v>72.400000000000006</c:v>
                </c:pt>
                <c:pt idx="48">
                  <c:v>77.900000000000006</c:v>
                </c:pt>
              </c:numCache>
            </c:numRef>
          </c:yVal>
          <c:smooth val="0"/>
        </c:ser>
        <c:ser>
          <c:idx val="24"/>
          <c:order val="24"/>
          <c:tx>
            <c:strRef>
              <c:f>'data for DHS countreis'!$A$26</c:f>
              <c:strCache>
                <c:ptCount val="1"/>
                <c:pt idx="0">
                  <c:v>Sierra Leone</c:v>
                </c:pt>
              </c:strCache>
            </c:strRef>
          </c:tx>
          <c:spPr>
            <a:ln w="19050" cap="rnd">
              <a:solidFill>
                <a:schemeClr val="accent1">
                  <a:lumMod val="60000"/>
                  <a:lumOff val="40000"/>
                </a:schemeClr>
              </a:solidFill>
              <a:round/>
            </a:ln>
            <a:effectLst/>
          </c:spPr>
          <c:marker>
            <c:symbol val="circle"/>
            <c:size val="5"/>
            <c:spPr>
              <a:solidFill>
                <a:schemeClr val="accent1">
                  <a:lumMod val="60000"/>
                  <a:lumOff val="40000"/>
                </a:schemeClr>
              </a:solidFill>
              <a:ln w="9525">
                <a:solidFill>
                  <a:schemeClr val="accent1">
                    <a:lumMod val="60000"/>
                    <a:lumOff val="4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countreis'!$B$26:$AX$26</c:f>
              <c:numCache>
                <c:formatCode>General</c:formatCode>
                <c:ptCount val="49"/>
                <c:pt idx="36">
                  <c:v>24.8</c:v>
                </c:pt>
                <c:pt idx="46">
                  <c:v>57.5</c:v>
                </c:pt>
              </c:numCache>
            </c:numRef>
          </c:yVal>
          <c:smooth val="0"/>
        </c:ser>
        <c:ser>
          <c:idx val="25"/>
          <c:order val="25"/>
          <c:tx>
            <c:strRef>
              <c:f>'data for DHS countreis'!$A$27</c:f>
              <c:strCache>
                <c:ptCount val="1"/>
                <c:pt idx="0">
                  <c:v>Tanzania</c:v>
                </c:pt>
              </c:strCache>
            </c:strRef>
          </c:tx>
          <c:spPr>
            <a:ln w="19050" cap="rnd">
              <a:solidFill>
                <a:schemeClr val="accent2">
                  <a:lumMod val="60000"/>
                  <a:lumOff val="40000"/>
                </a:schemeClr>
              </a:solidFill>
              <a:round/>
            </a:ln>
            <a:effectLst/>
          </c:spPr>
          <c:marker>
            <c:symbol val="circle"/>
            <c:size val="5"/>
            <c:spPr>
              <a:solidFill>
                <a:schemeClr val="accent2">
                  <a:lumMod val="60000"/>
                  <a:lumOff val="40000"/>
                </a:schemeClr>
              </a:solidFill>
              <a:ln w="9525">
                <a:solidFill>
                  <a:schemeClr val="accent2">
                    <a:lumMod val="60000"/>
                    <a:lumOff val="4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countreis'!$B$27:$AX$27</c:f>
              <c:numCache>
                <c:formatCode>General</c:formatCode>
                <c:ptCount val="49"/>
                <c:pt idx="3">
                  <c:v>52.3</c:v>
                </c:pt>
                <c:pt idx="12">
                  <c:v>45.3</c:v>
                </c:pt>
                <c:pt idx="18">
                  <c:v>42.1</c:v>
                </c:pt>
                <c:pt idx="29">
                  <c:v>47.5</c:v>
                </c:pt>
                <c:pt idx="40">
                  <c:v>50.2</c:v>
                </c:pt>
                <c:pt idx="43">
                  <c:v>58.7</c:v>
                </c:pt>
              </c:numCache>
            </c:numRef>
          </c:yVal>
          <c:smooth val="0"/>
        </c:ser>
        <c:ser>
          <c:idx val="26"/>
          <c:order val="26"/>
          <c:tx>
            <c:strRef>
              <c:f>'data for DHS countreis'!$A$28</c:f>
              <c:strCache>
                <c:ptCount val="1"/>
                <c:pt idx="0">
                  <c:v>Turkey</c:v>
                </c:pt>
              </c:strCache>
            </c:strRef>
          </c:tx>
          <c:spPr>
            <a:ln w="19050" cap="rnd">
              <a:solidFill>
                <a:schemeClr val="accent3">
                  <a:lumMod val="60000"/>
                  <a:lumOff val="40000"/>
                </a:schemeClr>
              </a:solidFill>
              <a:round/>
            </a:ln>
            <a:effectLst/>
          </c:spPr>
          <c:marker>
            <c:symbol val="circle"/>
            <c:size val="5"/>
            <c:spPr>
              <a:solidFill>
                <a:schemeClr val="accent3">
                  <a:lumMod val="60000"/>
                  <a:lumOff val="40000"/>
                </a:schemeClr>
              </a:solidFill>
              <a:ln w="9525">
                <a:solidFill>
                  <a:schemeClr val="accent3">
                    <a:lumMod val="60000"/>
                    <a:lumOff val="4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countreis'!$B$28:$AX$28</c:f>
              <c:numCache>
                <c:formatCode>General</c:formatCode>
                <c:ptCount val="49"/>
                <c:pt idx="6">
                  <c:v>62.7</c:v>
                </c:pt>
                <c:pt idx="16">
                  <c:v>75.099999999999994</c:v>
                </c:pt>
                <c:pt idx="26">
                  <c:v>79.900000000000006</c:v>
                </c:pt>
              </c:numCache>
            </c:numRef>
          </c:yVal>
          <c:smooth val="0"/>
        </c:ser>
        <c:ser>
          <c:idx val="27"/>
          <c:order val="27"/>
          <c:tx>
            <c:strRef>
              <c:f>'data for DHS countreis'!$A$29</c:f>
              <c:strCache>
                <c:ptCount val="1"/>
                <c:pt idx="0">
                  <c:v>Uganda</c:v>
                </c:pt>
              </c:strCache>
            </c:strRef>
          </c:tx>
          <c:spPr>
            <a:ln w="19050" cap="rnd">
              <a:solidFill>
                <a:schemeClr val="accent4">
                  <a:lumMod val="60000"/>
                  <a:lumOff val="40000"/>
                </a:schemeClr>
              </a:solidFill>
              <a:round/>
            </a:ln>
            <a:effectLst/>
          </c:spPr>
          <c:marker>
            <c:symbol val="circle"/>
            <c:size val="5"/>
            <c:spPr>
              <a:solidFill>
                <a:schemeClr val="accent4">
                  <a:lumMod val="60000"/>
                  <a:lumOff val="40000"/>
                </a:schemeClr>
              </a:solidFill>
              <a:ln w="9525">
                <a:solidFill>
                  <a:schemeClr val="accent4">
                    <a:lumMod val="60000"/>
                    <a:lumOff val="4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countreis'!$B$29:$AX$29</c:f>
              <c:numCache>
                <c:formatCode>General</c:formatCode>
                <c:ptCount val="49"/>
                <c:pt idx="10">
                  <c:v>34.4</c:v>
                </c:pt>
                <c:pt idx="21">
                  <c:v>36.700000000000003</c:v>
                </c:pt>
                <c:pt idx="32">
                  <c:v>43.2</c:v>
                </c:pt>
                <c:pt idx="42">
                  <c:v>59.1</c:v>
                </c:pt>
              </c:numCache>
            </c:numRef>
          </c:yVal>
          <c:smooth val="0"/>
        </c:ser>
        <c:ser>
          <c:idx val="28"/>
          <c:order val="28"/>
          <c:tx>
            <c:strRef>
              <c:f>'data for DHS countreis'!$A$30</c:f>
              <c:strCache>
                <c:ptCount val="1"/>
                <c:pt idx="0">
                  <c:v>Zambia</c:v>
                </c:pt>
              </c:strCache>
            </c:strRef>
          </c:tx>
          <c:spPr>
            <a:ln w="19050" cap="rnd">
              <a:solidFill>
                <a:schemeClr val="accent5">
                  <a:lumMod val="60000"/>
                  <a:lumOff val="40000"/>
                </a:schemeClr>
              </a:solidFill>
              <a:round/>
            </a:ln>
            <a:effectLst/>
          </c:spPr>
          <c:marker>
            <c:symbol val="circle"/>
            <c:size val="5"/>
            <c:spPr>
              <a:solidFill>
                <a:schemeClr val="accent5">
                  <a:lumMod val="60000"/>
                  <a:lumOff val="40000"/>
                </a:schemeClr>
              </a:solidFill>
              <a:ln w="9525">
                <a:solidFill>
                  <a:schemeClr val="accent5">
                    <a:lumMod val="60000"/>
                    <a:lumOff val="40000"/>
                  </a:schemeClr>
                </a:solidFill>
              </a:ln>
              <a:effectLst/>
            </c:spPr>
          </c:marker>
          <c:xVal>
            <c:numRef>
              <c:f>'data for DHS countreis'!$B$1:$AX$1</c:f>
              <c:numCache>
                <c:formatCode>General</c:formatCode>
                <c:ptCount val="49"/>
                <c:pt idx="0">
                  <c:v>1990</c:v>
                </c:pt>
                <c:pt idx="1">
                  <c:v>1990.5</c:v>
                </c:pt>
                <c:pt idx="2">
                  <c:v>1991</c:v>
                </c:pt>
                <c:pt idx="3">
                  <c:v>1991.5</c:v>
                </c:pt>
                <c:pt idx="4">
                  <c:v>1992</c:v>
                </c:pt>
                <c:pt idx="5">
                  <c:v>1992.5</c:v>
                </c:pt>
                <c:pt idx="6">
                  <c:v>1993</c:v>
                </c:pt>
                <c:pt idx="7">
                  <c:v>1993.5</c:v>
                </c:pt>
                <c:pt idx="8">
                  <c:v>1994</c:v>
                </c:pt>
                <c:pt idx="9">
                  <c:v>1994.5</c:v>
                </c:pt>
                <c:pt idx="10">
                  <c:v>1995</c:v>
                </c:pt>
                <c:pt idx="11">
                  <c:v>1995.5</c:v>
                </c:pt>
                <c:pt idx="12">
                  <c:v>1996</c:v>
                </c:pt>
                <c:pt idx="13">
                  <c:v>1996.5</c:v>
                </c:pt>
                <c:pt idx="14">
                  <c:v>1997</c:v>
                </c:pt>
                <c:pt idx="15">
                  <c:v>1997.5</c:v>
                </c:pt>
                <c:pt idx="16">
                  <c:v>1998</c:v>
                </c:pt>
                <c:pt idx="17">
                  <c:v>1998.5</c:v>
                </c:pt>
                <c:pt idx="18">
                  <c:v>1999</c:v>
                </c:pt>
                <c:pt idx="19">
                  <c:v>1999.5</c:v>
                </c:pt>
                <c:pt idx="20">
                  <c:v>2000</c:v>
                </c:pt>
                <c:pt idx="21">
                  <c:v>2000.5</c:v>
                </c:pt>
                <c:pt idx="22">
                  <c:v>2001</c:v>
                </c:pt>
                <c:pt idx="23">
                  <c:v>2001.5</c:v>
                </c:pt>
                <c:pt idx="24">
                  <c:v>2002</c:v>
                </c:pt>
                <c:pt idx="25">
                  <c:v>2002.5</c:v>
                </c:pt>
                <c:pt idx="26">
                  <c:v>2003</c:v>
                </c:pt>
                <c:pt idx="27">
                  <c:v>2003.5</c:v>
                </c:pt>
                <c:pt idx="28">
                  <c:v>2004</c:v>
                </c:pt>
                <c:pt idx="29">
                  <c:v>2004.5</c:v>
                </c:pt>
                <c:pt idx="30">
                  <c:v>2005</c:v>
                </c:pt>
                <c:pt idx="31">
                  <c:v>2005.5</c:v>
                </c:pt>
                <c:pt idx="32">
                  <c:v>2006</c:v>
                </c:pt>
                <c:pt idx="33">
                  <c:v>2006.5</c:v>
                </c:pt>
                <c:pt idx="34">
                  <c:v>2007</c:v>
                </c:pt>
                <c:pt idx="35">
                  <c:v>2007.5</c:v>
                </c:pt>
                <c:pt idx="36">
                  <c:v>2008</c:v>
                </c:pt>
                <c:pt idx="37">
                  <c:v>2008.5</c:v>
                </c:pt>
                <c:pt idx="38">
                  <c:v>2009</c:v>
                </c:pt>
                <c:pt idx="39">
                  <c:v>2009.5</c:v>
                </c:pt>
                <c:pt idx="40">
                  <c:v>2010</c:v>
                </c:pt>
                <c:pt idx="41">
                  <c:v>2010.5</c:v>
                </c:pt>
                <c:pt idx="42">
                  <c:v>2011</c:v>
                </c:pt>
                <c:pt idx="43">
                  <c:v>2011.5</c:v>
                </c:pt>
                <c:pt idx="44">
                  <c:v>2012</c:v>
                </c:pt>
                <c:pt idx="45">
                  <c:v>2012.5</c:v>
                </c:pt>
                <c:pt idx="46">
                  <c:v>2013</c:v>
                </c:pt>
                <c:pt idx="47">
                  <c:v>2013.5</c:v>
                </c:pt>
                <c:pt idx="48">
                  <c:v>2014</c:v>
                </c:pt>
              </c:numCache>
            </c:numRef>
          </c:xVal>
          <c:yVal>
            <c:numRef>
              <c:f>'data for DHS countreis'!$B$30:$AX$30</c:f>
              <c:numCache>
                <c:formatCode>General</c:formatCode>
                <c:ptCount val="49"/>
                <c:pt idx="4">
                  <c:v>50.6</c:v>
                </c:pt>
                <c:pt idx="12">
                  <c:v>44.9</c:v>
                </c:pt>
                <c:pt idx="23">
                  <c:v>42.9</c:v>
                </c:pt>
                <c:pt idx="34">
                  <c:v>47.7</c:v>
                </c:pt>
                <c:pt idx="47">
                  <c:v>70.7</c:v>
                </c:pt>
              </c:numCache>
            </c:numRef>
          </c:yVal>
          <c:smooth val="0"/>
        </c:ser>
        <c:dLbls>
          <c:showLegendKey val="0"/>
          <c:showVal val="0"/>
          <c:showCatName val="0"/>
          <c:showSerName val="0"/>
          <c:showPercent val="0"/>
          <c:showBubbleSize val="0"/>
        </c:dLbls>
        <c:axId val="403039312"/>
        <c:axId val="403039704"/>
      </c:scatterChart>
      <c:valAx>
        <c:axId val="403039312"/>
        <c:scaling>
          <c:orientation val="minMax"/>
          <c:max val="2015"/>
          <c:min val="199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03039704"/>
        <c:crosses val="autoZero"/>
        <c:crossBetween val="midCat"/>
        <c:majorUnit val="5"/>
      </c:valAx>
      <c:valAx>
        <c:axId val="40303970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40303931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6162</Words>
  <Characters>35130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41210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Oona Campbell</dc:creator>
  <cp:keywords/>
  <dc:description/>
  <cp:lastModifiedBy>Oona Campbell</cp:lastModifiedBy>
  <cp:revision>3</cp:revision>
  <dcterms:created xsi:type="dcterms:W3CDTF">2016-08-04T13:57:00Z</dcterms:created>
  <dcterms:modified xsi:type="dcterms:W3CDTF">2016-08-04T15:36:00Z</dcterms:modified>
</cp:coreProperties>
</file>