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51B3B" w14:textId="77777777" w:rsidR="00AE10D8" w:rsidRPr="00D3668A" w:rsidRDefault="00AE10D8" w:rsidP="00DC1CA2">
      <w:pPr>
        <w:spacing w:after="200" w:line="276" w:lineRule="auto"/>
        <w:divId w:val="434059591"/>
        <w:rPr>
          <w:b/>
          <w:sz w:val="20"/>
          <w:szCs w:val="20"/>
        </w:rPr>
      </w:pPr>
      <w:bookmarkStart w:id="0" w:name="_GoBack"/>
      <w:bookmarkEnd w:id="0"/>
      <w:r w:rsidRPr="00D35F39">
        <w:rPr>
          <w:b/>
          <w:sz w:val="20"/>
          <w:szCs w:val="20"/>
        </w:rPr>
        <w:t>Title</w:t>
      </w:r>
      <w:r w:rsidR="00B64865" w:rsidRPr="00D35F39">
        <w:rPr>
          <w:b/>
          <w:sz w:val="20"/>
          <w:szCs w:val="20"/>
        </w:rPr>
        <w:t xml:space="preserve"> </w:t>
      </w:r>
    </w:p>
    <w:p w14:paraId="68829B18" w14:textId="2A14253E" w:rsidR="00AE10D8" w:rsidRPr="00D35F39" w:rsidRDefault="00C25299" w:rsidP="00DC1CA2">
      <w:pPr>
        <w:keepNext/>
        <w:keepLines/>
        <w:spacing w:after="0" w:line="240" w:lineRule="auto"/>
        <w:jc w:val="left"/>
        <w:outlineLvl w:val="0"/>
        <w:divId w:val="434059591"/>
        <w:rPr>
          <w:rFonts w:eastAsiaTheme="majorEastAsia"/>
          <w:bCs/>
          <w:color w:val="000000" w:themeColor="text1"/>
          <w:sz w:val="20"/>
          <w:szCs w:val="20"/>
        </w:rPr>
      </w:pPr>
      <w:r w:rsidRPr="00D35F39">
        <w:rPr>
          <w:rFonts w:eastAsiaTheme="majorEastAsia"/>
          <w:bCs/>
          <w:color w:val="000000" w:themeColor="text1"/>
          <w:sz w:val="20"/>
          <w:szCs w:val="20"/>
        </w:rPr>
        <w:t xml:space="preserve">A tale of two cities: </w:t>
      </w:r>
      <w:r w:rsidR="00595784">
        <w:rPr>
          <w:sz w:val="20"/>
          <w:szCs w:val="20"/>
        </w:rPr>
        <w:t>c</w:t>
      </w:r>
      <w:r w:rsidR="00595784" w:rsidRPr="00595784">
        <w:rPr>
          <w:sz w:val="20"/>
          <w:szCs w:val="20"/>
        </w:rPr>
        <w:t xml:space="preserve">omparison </w:t>
      </w:r>
      <w:r w:rsidR="007A3B71" w:rsidRPr="00595784">
        <w:rPr>
          <w:sz w:val="20"/>
          <w:szCs w:val="20"/>
        </w:rPr>
        <w:t>of impacts</w:t>
      </w:r>
      <w:r w:rsidR="00595784" w:rsidRPr="00595784">
        <w:rPr>
          <w:sz w:val="20"/>
          <w:szCs w:val="20"/>
        </w:rPr>
        <w:t xml:space="preserve"> on CO</w:t>
      </w:r>
      <w:r w:rsidR="00595784" w:rsidRPr="00595784">
        <w:rPr>
          <w:sz w:val="20"/>
          <w:szCs w:val="20"/>
          <w:vertAlign w:val="subscript"/>
        </w:rPr>
        <w:t>2</w:t>
      </w:r>
      <w:r w:rsidR="00595784" w:rsidRPr="00595784">
        <w:rPr>
          <w:sz w:val="20"/>
          <w:szCs w:val="20"/>
        </w:rPr>
        <w:t xml:space="preserve"> emissions, the indoor environment and health of home energy efficiency strategies in London and Milton Keynes</w:t>
      </w:r>
      <w:r w:rsidR="00595784" w:rsidRPr="00595784" w:rsidDel="00595784">
        <w:rPr>
          <w:rFonts w:eastAsiaTheme="majorEastAsia"/>
          <w:bCs/>
          <w:color w:val="000000" w:themeColor="text1"/>
          <w:sz w:val="20"/>
          <w:szCs w:val="20"/>
        </w:rPr>
        <w:t xml:space="preserve"> </w:t>
      </w:r>
    </w:p>
    <w:p w14:paraId="7584E0E0" w14:textId="77777777" w:rsidR="00AE10D8" w:rsidRPr="00D35F39" w:rsidRDefault="00AE10D8" w:rsidP="00DC1CA2">
      <w:pPr>
        <w:keepNext/>
        <w:keepLines/>
        <w:spacing w:after="0" w:line="240" w:lineRule="auto"/>
        <w:jc w:val="left"/>
        <w:outlineLvl w:val="0"/>
        <w:divId w:val="434059591"/>
        <w:rPr>
          <w:rFonts w:eastAsiaTheme="majorEastAsia"/>
          <w:bCs/>
          <w:color w:val="000000" w:themeColor="text1"/>
          <w:sz w:val="20"/>
          <w:szCs w:val="20"/>
        </w:rPr>
      </w:pPr>
    </w:p>
    <w:p w14:paraId="05B3E691" w14:textId="77777777" w:rsidR="00AE10D8" w:rsidRPr="00D35F39" w:rsidRDefault="00AE10D8" w:rsidP="00DC1CA2">
      <w:pPr>
        <w:spacing w:after="200" w:line="276" w:lineRule="auto"/>
        <w:divId w:val="434059591"/>
        <w:rPr>
          <w:rFonts w:eastAsia="Times New Roman"/>
          <w:b/>
          <w:sz w:val="20"/>
          <w:szCs w:val="20"/>
        </w:rPr>
      </w:pPr>
      <w:r w:rsidRPr="00D35F39">
        <w:rPr>
          <w:rFonts w:eastAsia="Times New Roman"/>
          <w:b/>
          <w:sz w:val="20"/>
          <w:szCs w:val="20"/>
        </w:rPr>
        <w:t>Authors</w:t>
      </w:r>
    </w:p>
    <w:p w14:paraId="61A0FF72" w14:textId="267BF780" w:rsidR="00AE10D8" w:rsidRPr="00D35F39" w:rsidRDefault="00AE10D8" w:rsidP="00DC1CA2">
      <w:pPr>
        <w:spacing w:after="0"/>
        <w:contextualSpacing/>
        <w:divId w:val="434059591"/>
        <w:rPr>
          <w:sz w:val="20"/>
          <w:szCs w:val="20"/>
          <w:vertAlign w:val="superscript"/>
        </w:rPr>
      </w:pPr>
      <w:r w:rsidRPr="00D35F39">
        <w:rPr>
          <w:sz w:val="20"/>
          <w:szCs w:val="20"/>
        </w:rPr>
        <w:t>C. Shrubsole</w:t>
      </w:r>
      <w:r w:rsidR="00260613" w:rsidRPr="00D35F39">
        <w:rPr>
          <w:sz w:val="20"/>
          <w:szCs w:val="20"/>
          <w:vertAlign w:val="superscript"/>
        </w:rPr>
        <w:t>a</w:t>
      </w:r>
      <w:r w:rsidRPr="00D35F39">
        <w:rPr>
          <w:sz w:val="20"/>
          <w:szCs w:val="20"/>
          <w:vertAlign w:val="superscript"/>
        </w:rPr>
        <w:t>*</w:t>
      </w:r>
      <w:r w:rsidRPr="00D35F39">
        <w:rPr>
          <w:sz w:val="20"/>
          <w:szCs w:val="20"/>
        </w:rPr>
        <w:t xml:space="preserve">, </w:t>
      </w:r>
      <w:r w:rsidR="00C25299" w:rsidRPr="00D35F39">
        <w:rPr>
          <w:sz w:val="20"/>
          <w:szCs w:val="20"/>
        </w:rPr>
        <w:t>P. Das</w:t>
      </w:r>
      <w:r w:rsidR="00067457" w:rsidRPr="00D35F39">
        <w:rPr>
          <w:sz w:val="20"/>
          <w:szCs w:val="20"/>
          <w:vertAlign w:val="superscript"/>
        </w:rPr>
        <w:t>a</w:t>
      </w:r>
      <w:r w:rsidR="00AD42AC">
        <w:rPr>
          <w:sz w:val="20"/>
          <w:szCs w:val="20"/>
          <w:vertAlign w:val="superscript"/>
        </w:rPr>
        <w:t>,e</w:t>
      </w:r>
      <w:r w:rsidR="00C25299" w:rsidRPr="00D35F39">
        <w:rPr>
          <w:sz w:val="20"/>
          <w:szCs w:val="20"/>
        </w:rPr>
        <w:t>, J. Milner</w:t>
      </w:r>
      <w:r w:rsidR="00067457" w:rsidRPr="00D35F39">
        <w:rPr>
          <w:sz w:val="20"/>
          <w:szCs w:val="20"/>
          <w:vertAlign w:val="superscript"/>
        </w:rPr>
        <w:t>b</w:t>
      </w:r>
      <w:r w:rsidR="00C25299" w:rsidRPr="00D35F39">
        <w:rPr>
          <w:sz w:val="20"/>
          <w:szCs w:val="20"/>
        </w:rPr>
        <w:t>, I.</w:t>
      </w:r>
      <w:r w:rsidR="006C2EFB" w:rsidRPr="00D35F39">
        <w:rPr>
          <w:sz w:val="20"/>
          <w:szCs w:val="20"/>
        </w:rPr>
        <w:t>G.</w:t>
      </w:r>
      <w:r w:rsidR="00C25299" w:rsidRPr="00D35F39">
        <w:rPr>
          <w:sz w:val="20"/>
          <w:szCs w:val="20"/>
        </w:rPr>
        <w:t xml:space="preserve"> Hamilton</w:t>
      </w:r>
      <w:r w:rsidR="00067457" w:rsidRPr="00D35F39">
        <w:rPr>
          <w:sz w:val="20"/>
          <w:szCs w:val="20"/>
          <w:vertAlign w:val="superscript"/>
        </w:rPr>
        <w:t>c</w:t>
      </w:r>
      <w:r w:rsidR="00A413C4">
        <w:rPr>
          <w:sz w:val="20"/>
          <w:szCs w:val="20"/>
        </w:rPr>
        <w:t xml:space="preserve">, </w:t>
      </w:r>
      <w:r w:rsidR="00A413C4" w:rsidRPr="00D35F39">
        <w:rPr>
          <w:sz w:val="20"/>
          <w:szCs w:val="20"/>
        </w:rPr>
        <w:t>J.V. Spadaro</w:t>
      </w:r>
      <w:r w:rsidR="00A413C4" w:rsidRPr="00D35F39">
        <w:rPr>
          <w:sz w:val="20"/>
          <w:szCs w:val="20"/>
          <w:vertAlign w:val="superscript"/>
        </w:rPr>
        <w:t>d</w:t>
      </w:r>
      <w:r w:rsidR="00067457" w:rsidRPr="00D35F39">
        <w:rPr>
          <w:sz w:val="20"/>
          <w:szCs w:val="20"/>
        </w:rPr>
        <w:t xml:space="preserve">, </w:t>
      </w:r>
      <w:r w:rsidR="00352330" w:rsidRPr="00D35F39">
        <w:rPr>
          <w:sz w:val="20"/>
          <w:szCs w:val="20"/>
        </w:rPr>
        <w:t>E. Oikonomou</w:t>
      </w:r>
      <w:r w:rsidR="00352330" w:rsidRPr="00D35F39">
        <w:rPr>
          <w:sz w:val="20"/>
          <w:szCs w:val="20"/>
          <w:vertAlign w:val="superscript"/>
        </w:rPr>
        <w:t>c</w:t>
      </w:r>
      <w:r w:rsidR="00C9554B" w:rsidRPr="00D35F39">
        <w:rPr>
          <w:sz w:val="20"/>
          <w:szCs w:val="20"/>
        </w:rPr>
        <w:t xml:space="preserve">, </w:t>
      </w:r>
      <w:r w:rsidRPr="00D35F39">
        <w:rPr>
          <w:sz w:val="20"/>
          <w:szCs w:val="20"/>
        </w:rPr>
        <w:t>M. Davies</w:t>
      </w:r>
      <w:r w:rsidR="00260613" w:rsidRPr="00D35F39">
        <w:rPr>
          <w:sz w:val="20"/>
          <w:szCs w:val="20"/>
          <w:vertAlign w:val="superscript"/>
        </w:rPr>
        <w:t>a</w:t>
      </w:r>
      <w:r w:rsidRPr="00D35F39">
        <w:rPr>
          <w:sz w:val="20"/>
          <w:szCs w:val="20"/>
        </w:rPr>
        <w:t xml:space="preserve"> </w:t>
      </w:r>
      <w:r w:rsidR="00372CCF" w:rsidRPr="00D35F39">
        <w:rPr>
          <w:sz w:val="20"/>
          <w:szCs w:val="20"/>
        </w:rPr>
        <w:t>and P. Wilkinson</w:t>
      </w:r>
      <w:r w:rsidR="00372CCF" w:rsidRPr="00D35F39">
        <w:rPr>
          <w:sz w:val="20"/>
          <w:szCs w:val="20"/>
          <w:vertAlign w:val="superscript"/>
        </w:rPr>
        <w:t>b</w:t>
      </w:r>
    </w:p>
    <w:p w14:paraId="7874B025" w14:textId="77777777" w:rsidR="00AE10D8" w:rsidRPr="00D35F39" w:rsidRDefault="00AE10D8" w:rsidP="00DC1CA2">
      <w:pPr>
        <w:spacing w:after="0"/>
        <w:contextualSpacing/>
        <w:divId w:val="434059591"/>
        <w:rPr>
          <w:sz w:val="20"/>
          <w:szCs w:val="20"/>
        </w:rPr>
      </w:pPr>
    </w:p>
    <w:p w14:paraId="2F9685AF" w14:textId="77777777" w:rsidR="00067457" w:rsidRPr="00D35F39" w:rsidRDefault="00260613" w:rsidP="00C9554B">
      <w:pPr>
        <w:autoSpaceDE w:val="0"/>
        <w:autoSpaceDN w:val="0"/>
        <w:adjustRightInd w:val="0"/>
        <w:spacing w:after="0"/>
        <w:divId w:val="434059591"/>
        <w:rPr>
          <w:bCs/>
          <w:color w:val="231F20"/>
          <w:sz w:val="20"/>
          <w:szCs w:val="20"/>
          <w:lang w:eastAsia="en-GB"/>
        </w:rPr>
      </w:pPr>
      <w:r w:rsidRPr="00D35F39">
        <w:rPr>
          <w:sz w:val="20"/>
          <w:szCs w:val="20"/>
          <w:vertAlign w:val="superscript"/>
        </w:rPr>
        <w:t>a</w:t>
      </w:r>
      <w:r w:rsidR="00C25299" w:rsidRPr="00D35F39">
        <w:rPr>
          <w:sz w:val="20"/>
          <w:szCs w:val="20"/>
        </w:rPr>
        <w:t>UCL Institute for Environmental Design and Engineering,</w:t>
      </w:r>
      <w:r w:rsidR="00067457" w:rsidRPr="00D35F39">
        <w:rPr>
          <w:sz w:val="20"/>
          <w:szCs w:val="20"/>
        </w:rPr>
        <w:t xml:space="preserve"> </w:t>
      </w:r>
      <w:r w:rsidR="00C25299" w:rsidRPr="00D35F39">
        <w:rPr>
          <w:sz w:val="20"/>
          <w:szCs w:val="20"/>
        </w:rPr>
        <w:t>The Bartlett School of Environment Energy and Resources</w:t>
      </w:r>
      <w:r w:rsidR="00067457" w:rsidRPr="00D35F39">
        <w:rPr>
          <w:sz w:val="20"/>
          <w:szCs w:val="20"/>
        </w:rPr>
        <w:t xml:space="preserve">, </w:t>
      </w:r>
      <w:r w:rsidR="00AE10D8" w:rsidRPr="00D35F39">
        <w:rPr>
          <w:sz w:val="20"/>
          <w:szCs w:val="20"/>
        </w:rPr>
        <w:t>University College London, Central House, 14 Upper Woburn Place, London,</w:t>
      </w:r>
      <w:r w:rsidR="00AE10D8" w:rsidRPr="00D35F39">
        <w:rPr>
          <w:bCs/>
          <w:color w:val="231F20"/>
          <w:sz w:val="20"/>
          <w:szCs w:val="20"/>
          <w:lang w:eastAsia="en-GB"/>
        </w:rPr>
        <w:t xml:space="preserve"> WC1H 0NN, UK.</w:t>
      </w:r>
    </w:p>
    <w:p w14:paraId="3C93695C" w14:textId="77777777" w:rsidR="00AE10D8" w:rsidRPr="00D35F39" w:rsidRDefault="00067457" w:rsidP="00C9554B">
      <w:pPr>
        <w:autoSpaceDE w:val="0"/>
        <w:autoSpaceDN w:val="0"/>
        <w:adjustRightInd w:val="0"/>
        <w:spacing w:after="0"/>
        <w:divId w:val="434059591"/>
        <w:rPr>
          <w:sz w:val="20"/>
          <w:szCs w:val="20"/>
        </w:rPr>
      </w:pPr>
      <w:r w:rsidRPr="00D35F39">
        <w:rPr>
          <w:bCs/>
          <w:color w:val="000000" w:themeColor="text1"/>
          <w:sz w:val="20"/>
          <w:szCs w:val="20"/>
          <w:vertAlign w:val="superscript"/>
          <w:lang w:eastAsia="en-GB"/>
        </w:rPr>
        <w:t>b</w:t>
      </w:r>
      <w:r w:rsidRPr="00D35F39">
        <w:rPr>
          <w:bCs/>
          <w:color w:val="000000" w:themeColor="text1"/>
          <w:sz w:val="20"/>
          <w:szCs w:val="20"/>
          <w:lang w:eastAsia="en-GB"/>
        </w:rPr>
        <w:t>Department of Social &amp; Environmental Health Research, London School of Hygiene &amp; Tropical Medicine, 15-17 Tavistock Place, London, WC1H 9SH, UK</w:t>
      </w:r>
    </w:p>
    <w:p w14:paraId="7E3DBFA4" w14:textId="77777777" w:rsidR="00067457" w:rsidRPr="00D35F39" w:rsidRDefault="00067457" w:rsidP="00C9554B">
      <w:pPr>
        <w:autoSpaceDE w:val="0"/>
        <w:autoSpaceDN w:val="0"/>
        <w:adjustRightInd w:val="0"/>
        <w:spacing w:after="0"/>
        <w:jc w:val="left"/>
        <w:divId w:val="434059591"/>
        <w:rPr>
          <w:sz w:val="20"/>
          <w:szCs w:val="20"/>
        </w:rPr>
      </w:pPr>
      <w:r w:rsidRPr="00D35F39">
        <w:rPr>
          <w:sz w:val="20"/>
          <w:szCs w:val="20"/>
          <w:vertAlign w:val="superscript"/>
        </w:rPr>
        <w:t xml:space="preserve">c </w:t>
      </w:r>
      <w:r w:rsidRPr="00D35F39">
        <w:rPr>
          <w:sz w:val="20"/>
          <w:szCs w:val="20"/>
        </w:rPr>
        <w:t>UCL Energy Institute, The Bartlett School of Environment Energy and Resources, University College London, Central House, 14 Upper Woburn Place, London, WC1H 0NN, UK.</w:t>
      </w:r>
    </w:p>
    <w:p w14:paraId="21EDF2E3" w14:textId="77777777" w:rsidR="00C9554B" w:rsidRPr="00D35F39" w:rsidRDefault="00C9554B" w:rsidP="00C9554B">
      <w:pPr>
        <w:autoSpaceDE w:val="0"/>
        <w:autoSpaceDN w:val="0"/>
        <w:adjustRightInd w:val="0"/>
        <w:spacing w:after="0"/>
        <w:jc w:val="left"/>
        <w:divId w:val="434059591"/>
        <w:rPr>
          <w:sz w:val="20"/>
          <w:szCs w:val="20"/>
        </w:rPr>
      </w:pPr>
      <w:r w:rsidRPr="00D35F39">
        <w:rPr>
          <w:sz w:val="20"/>
          <w:szCs w:val="20"/>
          <w:vertAlign w:val="superscript"/>
        </w:rPr>
        <w:t>d</w:t>
      </w:r>
      <w:r w:rsidR="006307B5" w:rsidRPr="00D35F39">
        <w:rPr>
          <w:sz w:val="20"/>
          <w:szCs w:val="20"/>
        </w:rPr>
        <w:t>BC3 Basque Centre for Climate Change, Alda. Urquijo 4, 4º</w:t>
      </w:r>
      <w:r w:rsidR="00480AB3" w:rsidRPr="00D35F39">
        <w:rPr>
          <w:sz w:val="20"/>
          <w:szCs w:val="20"/>
        </w:rPr>
        <w:t>,</w:t>
      </w:r>
      <w:r w:rsidR="006307B5" w:rsidRPr="00D35F39">
        <w:rPr>
          <w:sz w:val="20"/>
          <w:szCs w:val="20"/>
        </w:rPr>
        <w:t xml:space="preserve"> 48008</w:t>
      </w:r>
      <w:r w:rsidR="00480AB3" w:rsidRPr="00D35F39">
        <w:rPr>
          <w:sz w:val="20"/>
          <w:szCs w:val="20"/>
        </w:rPr>
        <w:t>,</w:t>
      </w:r>
      <w:r w:rsidR="006307B5" w:rsidRPr="00D35F39">
        <w:rPr>
          <w:sz w:val="20"/>
          <w:szCs w:val="20"/>
        </w:rPr>
        <w:t xml:space="preserve"> Bilbao Spain</w:t>
      </w:r>
    </w:p>
    <w:p w14:paraId="408BAF21" w14:textId="77777777" w:rsidR="00067457" w:rsidRPr="00D35F39" w:rsidRDefault="00AD42AC" w:rsidP="00DC1CA2">
      <w:pPr>
        <w:spacing w:after="0" w:line="240" w:lineRule="auto"/>
        <w:divId w:val="434059591"/>
        <w:rPr>
          <w:sz w:val="20"/>
          <w:szCs w:val="20"/>
        </w:rPr>
      </w:pPr>
      <w:r w:rsidRPr="00452FDC">
        <w:rPr>
          <w:sz w:val="20"/>
          <w:szCs w:val="20"/>
          <w:vertAlign w:val="superscript"/>
        </w:rPr>
        <w:t>e</w:t>
      </w:r>
      <w:r w:rsidRPr="00AD42AC">
        <w:rPr>
          <w:sz w:val="20"/>
          <w:szCs w:val="20"/>
        </w:rPr>
        <w:t xml:space="preserve">Rudolf Peierls Centre for Theoretical </w:t>
      </w:r>
      <w:r w:rsidR="000D785B" w:rsidRPr="00AD42AC">
        <w:rPr>
          <w:sz w:val="20"/>
          <w:szCs w:val="20"/>
        </w:rPr>
        <w:t>Physics, University</w:t>
      </w:r>
      <w:r w:rsidRPr="00AD42AC">
        <w:rPr>
          <w:sz w:val="20"/>
          <w:szCs w:val="20"/>
        </w:rPr>
        <w:t xml:space="preserve"> of Oxford, 1 Keble Road, Oxford, OX1 3NP, UK.</w:t>
      </w:r>
    </w:p>
    <w:p w14:paraId="49CA5576" w14:textId="77777777" w:rsidR="00AE10D8" w:rsidRPr="00D35F39" w:rsidRDefault="00AE10D8" w:rsidP="00DC1CA2">
      <w:pPr>
        <w:spacing w:after="0" w:line="240" w:lineRule="auto"/>
        <w:divId w:val="434059591"/>
        <w:rPr>
          <w:sz w:val="20"/>
          <w:szCs w:val="20"/>
        </w:rPr>
      </w:pPr>
      <w:r w:rsidRPr="00D35F39">
        <w:rPr>
          <w:sz w:val="20"/>
          <w:szCs w:val="20"/>
        </w:rPr>
        <w:t xml:space="preserve">E-mails: </w:t>
      </w:r>
    </w:p>
    <w:p w14:paraId="723D6CDA" w14:textId="77777777" w:rsidR="00AD42AC" w:rsidRDefault="00AD42AC" w:rsidP="00DC1CA2">
      <w:pPr>
        <w:spacing w:after="0" w:line="240" w:lineRule="auto"/>
        <w:divId w:val="434059591"/>
      </w:pPr>
    </w:p>
    <w:p w14:paraId="3985D0FF" w14:textId="77777777" w:rsidR="00AE10D8" w:rsidRPr="00D35F39" w:rsidRDefault="00E25B86" w:rsidP="00DC1CA2">
      <w:pPr>
        <w:spacing w:after="0" w:line="240" w:lineRule="auto"/>
        <w:divId w:val="434059591"/>
        <w:rPr>
          <w:sz w:val="20"/>
          <w:szCs w:val="20"/>
        </w:rPr>
      </w:pPr>
      <w:hyperlink r:id="rId8" w:history="1">
        <w:r w:rsidR="00AE10D8" w:rsidRPr="00D35F39">
          <w:rPr>
            <w:color w:val="0000FF"/>
            <w:sz w:val="20"/>
            <w:szCs w:val="20"/>
            <w:u w:val="single"/>
          </w:rPr>
          <w:t>clive.shrubsole.09@ucl.ac.uk</w:t>
        </w:r>
      </w:hyperlink>
      <w:r w:rsidR="00AE10D8" w:rsidRPr="00D35F39">
        <w:rPr>
          <w:sz w:val="20"/>
          <w:szCs w:val="20"/>
        </w:rPr>
        <w:t xml:space="preserve"> *(Corresponding author) Fax number: Not available</w:t>
      </w:r>
    </w:p>
    <w:p w14:paraId="5DAF8C65" w14:textId="77777777" w:rsidR="00AE10D8" w:rsidRPr="00D35F39" w:rsidRDefault="00AE10D8" w:rsidP="00DC1CA2">
      <w:pPr>
        <w:spacing w:after="0" w:line="240" w:lineRule="auto"/>
        <w:divId w:val="434059591"/>
        <w:rPr>
          <w:sz w:val="20"/>
          <w:szCs w:val="20"/>
        </w:rPr>
      </w:pPr>
      <w:r w:rsidRPr="00D35F39">
        <w:rPr>
          <w:sz w:val="20"/>
          <w:szCs w:val="20"/>
        </w:rPr>
        <w:t xml:space="preserve">Telephone </w:t>
      </w:r>
      <w:r w:rsidRPr="00D35F39">
        <w:rPr>
          <w:color w:val="000000" w:themeColor="text1"/>
          <w:sz w:val="20"/>
          <w:szCs w:val="20"/>
        </w:rPr>
        <w:t xml:space="preserve">+ 44 (0) </w:t>
      </w:r>
      <w:r w:rsidRPr="00D35F39">
        <w:rPr>
          <w:color w:val="000080"/>
          <w:sz w:val="20"/>
          <w:szCs w:val="20"/>
        </w:rPr>
        <w:t xml:space="preserve">2076799111 </w:t>
      </w:r>
      <w:r w:rsidRPr="00D35F39">
        <w:rPr>
          <w:sz w:val="20"/>
          <w:szCs w:val="20"/>
        </w:rPr>
        <w:t xml:space="preserve"> </w:t>
      </w:r>
    </w:p>
    <w:p w14:paraId="32A9DCA7" w14:textId="77777777" w:rsidR="00AE10D8" w:rsidRPr="00D35F39" w:rsidRDefault="00AE10D8" w:rsidP="00DC1CA2">
      <w:pPr>
        <w:spacing w:after="0" w:line="240" w:lineRule="auto"/>
        <w:divId w:val="434059591"/>
        <w:rPr>
          <w:rFonts w:ascii="Calibri" w:hAnsi="Calibri"/>
          <w:i/>
          <w:iCs/>
          <w:color w:val="808080" w:themeColor="text1" w:themeTint="7F"/>
          <w:sz w:val="20"/>
          <w:szCs w:val="20"/>
        </w:rPr>
      </w:pPr>
    </w:p>
    <w:p w14:paraId="3982C3F7" w14:textId="77777777" w:rsidR="00AE10D8" w:rsidRPr="00D35F39" w:rsidRDefault="0028277B" w:rsidP="00DC1CA2">
      <w:pPr>
        <w:spacing w:after="0" w:line="240" w:lineRule="auto"/>
        <w:divId w:val="434059591"/>
        <w:rPr>
          <w:color w:val="0000FF"/>
          <w:sz w:val="20"/>
          <w:szCs w:val="20"/>
          <w:u w:val="single"/>
        </w:rPr>
      </w:pPr>
      <w:r w:rsidRPr="00D35F39">
        <w:rPr>
          <w:color w:val="0000FF"/>
          <w:sz w:val="20"/>
          <w:szCs w:val="20"/>
          <w:u w:val="single"/>
        </w:rPr>
        <w:t>payel.das</w:t>
      </w:r>
      <w:r w:rsidR="00AE10D8" w:rsidRPr="00D35F39">
        <w:rPr>
          <w:color w:val="0000FF"/>
          <w:sz w:val="20"/>
          <w:szCs w:val="20"/>
          <w:u w:val="single"/>
        </w:rPr>
        <w:t>@ucl.ac.uk</w:t>
      </w:r>
    </w:p>
    <w:p w14:paraId="68A4B7A4" w14:textId="77777777" w:rsidR="00067457" w:rsidRPr="00D35F39" w:rsidRDefault="00067457" w:rsidP="00DC1CA2">
      <w:pPr>
        <w:spacing w:after="0" w:line="240" w:lineRule="auto"/>
        <w:divId w:val="434059591"/>
        <w:rPr>
          <w:color w:val="0000FF"/>
          <w:sz w:val="20"/>
          <w:szCs w:val="20"/>
          <w:u w:val="single"/>
        </w:rPr>
      </w:pPr>
    </w:p>
    <w:p w14:paraId="1225F169" w14:textId="77777777" w:rsidR="00067457" w:rsidRPr="00D35F39" w:rsidRDefault="00E25B86" w:rsidP="00DC1CA2">
      <w:pPr>
        <w:spacing w:after="0" w:line="240" w:lineRule="auto"/>
        <w:divId w:val="434059591"/>
        <w:rPr>
          <w:color w:val="0000FF"/>
          <w:sz w:val="20"/>
          <w:szCs w:val="20"/>
          <w:u w:val="single"/>
        </w:rPr>
      </w:pPr>
      <w:hyperlink r:id="rId9" w:history="1">
        <w:r w:rsidR="0028277B" w:rsidRPr="00D35F39">
          <w:rPr>
            <w:rStyle w:val="Hyperlink"/>
            <w:sz w:val="20"/>
            <w:szCs w:val="20"/>
          </w:rPr>
          <w:t>James.Milner@lshtm.ac.uk</w:t>
        </w:r>
      </w:hyperlink>
    </w:p>
    <w:p w14:paraId="54AB1306" w14:textId="77777777" w:rsidR="0028277B" w:rsidRPr="00D35F39" w:rsidRDefault="0028277B" w:rsidP="00DC1CA2">
      <w:pPr>
        <w:spacing w:after="0" w:line="240" w:lineRule="auto"/>
        <w:divId w:val="434059591"/>
        <w:rPr>
          <w:color w:val="0000FF"/>
          <w:sz w:val="20"/>
          <w:szCs w:val="20"/>
          <w:u w:val="single"/>
        </w:rPr>
      </w:pPr>
    </w:p>
    <w:p w14:paraId="4205AAC4" w14:textId="77777777" w:rsidR="0028277B" w:rsidRPr="00D35F39" w:rsidRDefault="00E25B86" w:rsidP="00DC1CA2">
      <w:pPr>
        <w:spacing w:after="0" w:line="240" w:lineRule="auto"/>
        <w:divId w:val="434059591"/>
        <w:rPr>
          <w:color w:val="0000FF"/>
          <w:sz w:val="20"/>
          <w:szCs w:val="20"/>
          <w:u w:val="single"/>
        </w:rPr>
      </w:pPr>
      <w:hyperlink r:id="rId10" w:history="1">
        <w:r w:rsidR="0028277B" w:rsidRPr="00D35F39">
          <w:rPr>
            <w:rStyle w:val="Hyperlink"/>
            <w:sz w:val="20"/>
            <w:szCs w:val="20"/>
          </w:rPr>
          <w:t>i.hamilton@ucl.ac.uk</w:t>
        </w:r>
      </w:hyperlink>
    </w:p>
    <w:p w14:paraId="6E74F605" w14:textId="77777777" w:rsidR="0028277B" w:rsidRPr="00D35F39" w:rsidRDefault="0028277B" w:rsidP="00DC1CA2">
      <w:pPr>
        <w:spacing w:after="0" w:line="240" w:lineRule="auto"/>
        <w:divId w:val="434059591"/>
        <w:rPr>
          <w:color w:val="0000FF"/>
          <w:sz w:val="20"/>
          <w:szCs w:val="20"/>
          <w:u w:val="single"/>
        </w:rPr>
      </w:pPr>
    </w:p>
    <w:p w14:paraId="180F0F56" w14:textId="77777777" w:rsidR="0028277B" w:rsidRPr="00D35F39" w:rsidRDefault="00E25B86" w:rsidP="00DC1CA2">
      <w:pPr>
        <w:spacing w:after="0" w:line="240" w:lineRule="auto"/>
        <w:divId w:val="434059591"/>
        <w:rPr>
          <w:color w:val="0000FF"/>
          <w:sz w:val="20"/>
          <w:szCs w:val="20"/>
          <w:u w:val="single"/>
        </w:rPr>
      </w:pPr>
      <w:hyperlink r:id="rId11" w:history="1">
        <w:r w:rsidR="005D7BC9" w:rsidRPr="00D35F39">
          <w:rPr>
            <w:rStyle w:val="Hyperlink"/>
            <w:iCs/>
            <w:sz w:val="20"/>
            <w:szCs w:val="20"/>
          </w:rPr>
          <w:t>joseph.spadaro@bc3research.org</w:t>
        </w:r>
      </w:hyperlink>
      <w:r w:rsidR="005D7BC9">
        <w:rPr>
          <w:rStyle w:val="Hyperlink"/>
          <w:iCs/>
          <w:sz w:val="20"/>
          <w:szCs w:val="20"/>
        </w:rPr>
        <w:t xml:space="preserve"> </w:t>
      </w:r>
    </w:p>
    <w:p w14:paraId="14CC10EA" w14:textId="77777777" w:rsidR="00C9554B" w:rsidRPr="00D35F39" w:rsidRDefault="00C9554B" w:rsidP="00DC1CA2">
      <w:pPr>
        <w:spacing w:after="0" w:line="240" w:lineRule="auto"/>
        <w:divId w:val="434059591"/>
        <w:rPr>
          <w:color w:val="0000FF"/>
          <w:sz w:val="20"/>
          <w:szCs w:val="20"/>
          <w:u w:val="single"/>
        </w:rPr>
      </w:pPr>
    </w:p>
    <w:p w14:paraId="73B19D19" w14:textId="77777777" w:rsidR="00C9554B" w:rsidRDefault="00E25B86" w:rsidP="00DC1CA2">
      <w:pPr>
        <w:spacing w:after="0" w:line="240" w:lineRule="auto"/>
        <w:divId w:val="434059591"/>
        <w:rPr>
          <w:rStyle w:val="Hyperlink"/>
          <w:sz w:val="20"/>
          <w:szCs w:val="20"/>
        </w:rPr>
      </w:pPr>
      <w:hyperlink r:id="rId12" w:history="1">
        <w:r w:rsidR="005D7BC9" w:rsidRPr="00D35F39">
          <w:rPr>
            <w:rStyle w:val="Hyperlink"/>
            <w:sz w:val="20"/>
            <w:szCs w:val="20"/>
          </w:rPr>
          <w:t>e.oikonomou@ucl.ac.uk</w:t>
        </w:r>
      </w:hyperlink>
    </w:p>
    <w:p w14:paraId="7FE4BBD8" w14:textId="77777777" w:rsidR="00AE10D8" w:rsidRPr="00D35F39" w:rsidRDefault="00AE10D8" w:rsidP="00DC1CA2">
      <w:pPr>
        <w:spacing w:after="0" w:line="240" w:lineRule="auto"/>
        <w:divId w:val="434059591"/>
        <w:rPr>
          <w:rFonts w:ascii="Calibri" w:hAnsi="Calibri"/>
          <w:i/>
          <w:iCs/>
          <w:color w:val="808080" w:themeColor="text1" w:themeTint="7F"/>
          <w:sz w:val="20"/>
          <w:szCs w:val="20"/>
        </w:rPr>
      </w:pPr>
    </w:p>
    <w:p w14:paraId="05073FBD" w14:textId="77777777" w:rsidR="00AE10D8" w:rsidRPr="00D35F39" w:rsidRDefault="00E25B86" w:rsidP="00DC1CA2">
      <w:pPr>
        <w:spacing w:after="0" w:line="240" w:lineRule="auto"/>
        <w:divId w:val="434059591"/>
        <w:rPr>
          <w:iCs/>
          <w:color w:val="000000" w:themeColor="text1"/>
          <w:sz w:val="20"/>
          <w:szCs w:val="20"/>
        </w:rPr>
      </w:pPr>
      <w:hyperlink r:id="rId13" w:history="1">
        <w:r w:rsidR="00AE10D8" w:rsidRPr="00D35F39">
          <w:rPr>
            <w:color w:val="0000FF"/>
            <w:sz w:val="20"/>
            <w:szCs w:val="20"/>
            <w:u w:val="single"/>
          </w:rPr>
          <w:t>michael.davies@ucl.ac.uk</w:t>
        </w:r>
      </w:hyperlink>
    </w:p>
    <w:p w14:paraId="0224E94A" w14:textId="77777777" w:rsidR="00AE10D8" w:rsidRPr="00D35F39" w:rsidRDefault="00AE10D8" w:rsidP="00DC1CA2">
      <w:pPr>
        <w:spacing w:after="0" w:line="240" w:lineRule="auto"/>
        <w:jc w:val="left"/>
        <w:divId w:val="434059591"/>
        <w:rPr>
          <w:b/>
          <w:sz w:val="20"/>
          <w:szCs w:val="20"/>
        </w:rPr>
      </w:pPr>
    </w:p>
    <w:p w14:paraId="5D167520" w14:textId="77777777" w:rsidR="00F94703" w:rsidRPr="00D35F39" w:rsidRDefault="00E25B86" w:rsidP="00DC1CA2">
      <w:pPr>
        <w:spacing w:after="0" w:line="240" w:lineRule="auto"/>
        <w:jc w:val="left"/>
        <w:divId w:val="434059591"/>
        <w:rPr>
          <w:sz w:val="20"/>
          <w:szCs w:val="20"/>
        </w:rPr>
      </w:pPr>
      <w:hyperlink r:id="rId14" w:history="1">
        <w:r w:rsidR="00F94703" w:rsidRPr="00D35F39">
          <w:rPr>
            <w:rStyle w:val="Hyperlink"/>
            <w:sz w:val="20"/>
            <w:szCs w:val="20"/>
          </w:rPr>
          <w:t>Paul.Wilkinson@lshtm.ac.uk</w:t>
        </w:r>
      </w:hyperlink>
    </w:p>
    <w:p w14:paraId="41984423" w14:textId="77777777" w:rsidR="00F94703" w:rsidRPr="00D35F39" w:rsidRDefault="00F94703" w:rsidP="00DC1CA2">
      <w:pPr>
        <w:spacing w:after="0" w:line="240" w:lineRule="auto"/>
        <w:jc w:val="left"/>
        <w:divId w:val="434059591"/>
        <w:rPr>
          <w:sz w:val="20"/>
          <w:szCs w:val="20"/>
        </w:rPr>
      </w:pPr>
      <w:r w:rsidRPr="00D35F39" w:rsidDel="00F94703">
        <w:rPr>
          <w:sz w:val="20"/>
          <w:szCs w:val="20"/>
        </w:rPr>
        <w:t xml:space="preserve"> </w:t>
      </w:r>
    </w:p>
    <w:p w14:paraId="097AD8B2" w14:textId="77777777" w:rsidR="00454861" w:rsidRPr="00D35F39" w:rsidRDefault="00454861" w:rsidP="00DC1CA2">
      <w:pPr>
        <w:spacing w:after="0" w:line="480" w:lineRule="auto"/>
        <w:jc w:val="left"/>
        <w:divId w:val="434059591"/>
        <w:rPr>
          <w:b/>
          <w:sz w:val="20"/>
          <w:szCs w:val="20"/>
        </w:rPr>
      </w:pPr>
    </w:p>
    <w:p w14:paraId="48D7E04F" w14:textId="77777777" w:rsidR="00471F38" w:rsidRPr="00D35F39" w:rsidRDefault="00471F38" w:rsidP="00DC1CA2">
      <w:pPr>
        <w:spacing w:after="0" w:line="480" w:lineRule="auto"/>
        <w:jc w:val="left"/>
        <w:divId w:val="434059591"/>
        <w:rPr>
          <w:b/>
          <w:sz w:val="20"/>
          <w:szCs w:val="20"/>
        </w:rPr>
      </w:pPr>
      <w:r w:rsidRPr="00D35F39">
        <w:rPr>
          <w:b/>
          <w:sz w:val="20"/>
          <w:szCs w:val="20"/>
        </w:rPr>
        <w:t>Key words</w:t>
      </w:r>
    </w:p>
    <w:p w14:paraId="1CC500A8" w14:textId="3BC7DF3C" w:rsidR="00454861" w:rsidRPr="00D35F39" w:rsidRDefault="00471F38" w:rsidP="00DC1CA2">
      <w:pPr>
        <w:spacing w:after="0" w:line="480" w:lineRule="auto"/>
        <w:jc w:val="left"/>
        <w:divId w:val="434059591"/>
        <w:rPr>
          <w:sz w:val="20"/>
          <w:szCs w:val="20"/>
        </w:rPr>
      </w:pPr>
      <w:r w:rsidRPr="00D35F39">
        <w:rPr>
          <w:sz w:val="20"/>
          <w:szCs w:val="20"/>
        </w:rPr>
        <w:t xml:space="preserve">Built environment, </w:t>
      </w:r>
      <w:r w:rsidR="00C21D60" w:rsidRPr="00D35F39">
        <w:rPr>
          <w:sz w:val="20"/>
          <w:szCs w:val="20"/>
        </w:rPr>
        <w:t>Housing</w:t>
      </w:r>
      <w:r w:rsidR="00C21D60">
        <w:rPr>
          <w:sz w:val="20"/>
          <w:szCs w:val="20"/>
        </w:rPr>
        <w:t>,</w:t>
      </w:r>
      <w:r w:rsidR="00C21D60" w:rsidRPr="00D35F39">
        <w:rPr>
          <w:sz w:val="20"/>
          <w:szCs w:val="20"/>
        </w:rPr>
        <w:t xml:space="preserve"> Energy efficiency</w:t>
      </w:r>
      <w:r w:rsidR="00C21D60">
        <w:rPr>
          <w:sz w:val="20"/>
          <w:szCs w:val="20"/>
        </w:rPr>
        <w:t>,</w:t>
      </w:r>
      <w:r w:rsidR="00C21D60" w:rsidRPr="00D35F39" w:rsidDel="00C21D60">
        <w:rPr>
          <w:sz w:val="20"/>
          <w:szCs w:val="20"/>
        </w:rPr>
        <w:t xml:space="preserve"> </w:t>
      </w:r>
      <w:r w:rsidR="00C21D60" w:rsidRPr="00D35F39">
        <w:rPr>
          <w:sz w:val="20"/>
          <w:szCs w:val="20"/>
        </w:rPr>
        <w:t>CO</w:t>
      </w:r>
      <w:r w:rsidR="00C21D60" w:rsidRPr="00D35F39">
        <w:rPr>
          <w:sz w:val="20"/>
          <w:szCs w:val="20"/>
          <w:vertAlign w:val="subscript"/>
        </w:rPr>
        <w:t>2</w:t>
      </w:r>
      <w:r w:rsidR="00C21D60" w:rsidRPr="00D35F39">
        <w:rPr>
          <w:sz w:val="20"/>
          <w:szCs w:val="20"/>
        </w:rPr>
        <w:t xml:space="preserve"> </w:t>
      </w:r>
      <w:r w:rsidR="00C31A4F" w:rsidRPr="00D35F39">
        <w:rPr>
          <w:sz w:val="20"/>
          <w:szCs w:val="20"/>
        </w:rPr>
        <w:t>reduction</w:t>
      </w:r>
      <w:r w:rsidR="00C31A4F" w:rsidRPr="00D35F39" w:rsidDel="00C21D60">
        <w:rPr>
          <w:sz w:val="20"/>
          <w:szCs w:val="20"/>
        </w:rPr>
        <w:t>,</w:t>
      </w:r>
      <w:r w:rsidRPr="00D35F39">
        <w:rPr>
          <w:sz w:val="20"/>
          <w:szCs w:val="20"/>
        </w:rPr>
        <w:t xml:space="preserve"> </w:t>
      </w:r>
      <w:r w:rsidR="00FE283D" w:rsidRPr="00D35F39">
        <w:rPr>
          <w:sz w:val="20"/>
          <w:szCs w:val="20"/>
        </w:rPr>
        <w:t>Indoor air quality,</w:t>
      </w:r>
      <w:r w:rsidR="00250939" w:rsidRPr="00D35F39">
        <w:rPr>
          <w:sz w:val="20"/>
          <w:szCs w:val="20"/>
        </w:rPr>
        <w:t xml:space="preserve"> </w:t>
      </w:r>
      <w:r w:rsidR="00C21D60">
        <w:rPr>
          <w:sz w:val="20"/>
          <w:szCs w:val="20"/>
        </w:rPr>
        <w:t>Health impacts.</w:t>
      </w:r>
    </w:p>
    <w:p w14:paraId="4CB6EB39" w14:textId="77777777" w:rsidR="0094412F" w:rsidRDefault="0094412F" w:rsidP="00DC1CA2">
      <w:pPr>
        <w:spacing w:after="120" w:line="480" w:lineRule="auto"/>
        <w:divId w:val="434059591"/>
        <w:rPr>
          <w:rFonts w:eastAsia="Cambria"/>
          <w:b/>
          <w:sz w:val="20"/>
          <w:szCs w:val="20"/>
        </w:rPr>
      </w:pPr>
    </w:p>
    <w:p w14:paraId="206ABA68" w14:textId="77777777" w:rsidR="0094412F" w:rsidRDefault="0094412F" w:rsidP="00DC1CA2">
      <w:pPr>
        <w:spacing w:after="120" w:line="480" w:lineRule="auto"/>
        <w:divId w:val="434059591"/>
        <w:rPr>
          <w:rFonts w:eastAsia="Cambria"/>
          <w:b/>
          <w:sz w:val="20"/>
          <w:szCs w:val="20"/>
        </w:rPr>
      </w:pPr>
    </w:p>
    <w:p w14:paraId="397DF34F" w14:textId="77777777" w:rsidR="0094412F" w:rsidRDefault="0094412F" w:rsidP="00DC1CA2">
      <w:pPr>
        <w:spacing w:after="120" w:line="480" w:lineRule="auto"/>
        <w:divId w:val="434059591"/>
        <w:rPr>
          <w:rFonts w:eastAsia="Cambria"/>
          <w:b/>
          <w:sz w:val="20"/>
          <w:szCs w:val="20"/>
        </w:rPr>
      </w:pPr>
    </w:p>
    <w:p w14:paraId="2FEBFB23" w14:textId="77777777" w:rsidR="0094412F" w:rsidRDefault="0094412F" w:rsidP="00DC1CA2">
      <w:pPr>
        <w:spacing w:after="120" w:line="480" w:lineRule="auto"/>
        <w:divId w:val="434059591"/>
        <w:rPr>
          <w:rFonts w:eastAsia="Cambria"/>
          <w:b/>
          <w:sz w:val="20"/>
          <w:szCs w:val="20"/>
        </w:rPr>
      </w:pPr>
    </w:p>
    <w:p w14:paraId="76B2A1F5" w14:textId="77777777" w:rsidR="00F5501B" w:rsidRDefault="00F5501B" w:rsidP="00DC1CA2">
      <w:pPr>
        <w:spacing w:after="120" w:line="480" w:lineRule="auto"/>
        <w:divId w:val="434059591"/>
        <w:rPr>
          <w:rFonts w:eastAsia="Cambria"/>
          <w:b/>
          <w:sz w:val="20"/>
          <w:szCs w:val="20"/>
        </w:rPr>
      </w:pPr>
    </w:p>
    <w:p w14:paraId="59CA3801" w14:textId="77777777" w:rsidR="00F5501B" w:rsidRDefault="00F5501B" w:rsidP="00DC1CA2">
      <w:pPr>
        <w:spacing w:after="120" w:line="480" w:lineRule="auto"/>
        <w:divId w:val="434059591"/>
        <w:rPr>
          <w:rFonts w:eastAsia="Cambria"/>
          <w:b/>
          <w:sz w:val="20"/>
          <w:szCs w:val="20"/>
        </w:rPr>
      </w:pPr>
    </w:p>
    <w:p w14:paraId="3C39EB07" w14:textId="0664DEE9" w:rsidR="001B1B25" w:rsidRPr="00D35F39" w:rsidRDefault="001B1B25" w:rsidP="00DC1CA2">
      <w:pPr>
        <w:spacing w:after="120" w:line="480" w:lineRule="auto"/>
        <w:divId w:val="434059591"/>
        <w:rPr>
          <w:rFonts w:eastAsia="Cambria"/>
          <w:b/>
          <w:sz w:val="20"/>
          <w:szCs w:val="20"/>
        </w:rPr>
      </w:pPr>
      <w:r w:rsidRPr="00D35F39">
        <w:rPr>
          <w:rFonts w:eastAsia="Cambria"/>
          <w:b/>
          <w:sz w:val="20"/>
          <w:szCs w:val="20"/>
        </w:rPr>
        <w:lastRenderedPageBreak/>
        <w:t>Abstract</w:t>
      </w:r>
    </w:p>
    <w:p w14:paraId="27F8BC1B" w14:textId="3708D5B4" w:rsidR="00564870" w:rsidRPr="007A4CDC" w:rsidRDefault="00564870" w:rsidP="00564870">
      <w:pPr>
        <w:spacing w:after="120" w:line="480" w:lineRule="auto"/>
        <w:divId w:val="434059591"/>
        <w:rPr>
          <w:rFonts w:eastAsia="Cambria"/>
          <w:sz w:val="20"/>
        </w:rPr>
      </w:pPr>
      <w:r w:rsidRPr="007A4CDC">
        <w:rPr>
          <w:rFonts w:eastAsia="Cambria"/>
          <w:sz w:val="20"/>
        </w:rPr>
        <w:t>Dwellings are a substantial source of global CO</w:t>
      </w:r>
      <w:r w:rsidRPr="007A4CDC">
        <w:rPr>
          <w:rFonts w:eastAsia="Cambria"/>
          <w:sz w:val="20"/>
          <w:vertAlign w:val="subscript"/>
        </w:rPr>
        <w:t>2</w:t>
      </w:r>
      <w:r w:rsidRPr="007A4CDC">
        <w:rPr>
          <w:rFonts w:eastAsia="Cambria"/>
          <w:sz w:val="20"/>
        </w:rPr>
        <w:t xml:space="preserve"> emissions</w:t>
      </w:r>
      <w:r w:rsidR="00895CCC">
        <w:rPr>
          <w:rFonts w:eastAsia="Cambria"/>
          <w:sz w:val="20"/>
        </w:rPr>
        <w:t xml:space="preserve">.  </w:t>
      </w:r>
      <w:r w:rsidR="00252477">
        <w:rPr>
          <w:rFonts w:eastAsia="Cambria"/>
          <w:sz w:val="20"/>
        </w:rPr>
        <w:t>The energy used in home</w:t>
      </w:r>
      <w:r w:rsidR="009864B8">
        <w:rPr>
          <w:rFonts w:eastAsia="Cambria"/>
          <w:sz w:val="20"/>
        </w:rPr>
        <w:t>s</w:t>
      </w:r>
      <w:r w:rsidR="00252477">
        <w:rPr>
          <w:rFonts w:eastAsia="Cambria"/>
          <w:sz w:val="20"/>
        </w:rPr>
        <w:t xml:space="preserve"> for heating, cooking and running electrical </w:t>
      </w:r>
      <w:r w:rsidR="007A3B71">
        <w:rPr>
          <w:rFonts w:eastAsia="Cambria"/>
          <w:sz w:val="20"/>
        </w:rPr>
        <w:t>appliances</w:t>
      </w:r>
      <w:r w:rsidR="00252477">
        <w:rPr>
          <w:rFonts w:eastAsia="Cambria"/>
          <w:sz w:val="20"/>
        </w:rPr>
        <w:t xml:space="preserve"> is </w:t>
      </w:r>
      <w:r w:rsidRPr="007A4CDC">
        <w:rPr>
          <w:rFonts w:eastAsia="Cambria"/>
          <w:sz w:val="20"/>
        </w:rPr>
        <w:t>responsible for a quarter of current total UK emissions</w:t>
      </w:r>
      <w:r w:rsidR="00252477">
        <w:rPr>
          <w:rFonts w:eastAsia="Cambria"/>
          <w:sz w:val="20"/>
        </w:rPr>
        <w:t xml:space="preserve"> and</w:t>
      </w:r>
      <w:r w:rsidRPr="007A4CDC">
        <w:rPr>
          <w:rFonts w:eastAsia="Cambria"/>
          <w:sz w:val="20"/>
        </w:rPr>
        <w:t xml:space="preserve"> is a </w:t>
      </w:r>
      <w:r w:rsidR="009864B8">
        <w:rPr>
          <w:rFonts w:eastAsia="Cambria"/>
          <w:sz w:val="20"/>
        </w:rPr>
        <w:t xml:space="preserve">key </w:t>
      </w:r>
      <w:r w:rsidRPr="007A4CDC">
        <w:rPr>
          <w:rFonts w:eastAsia="Cambria"/>
          <w:sz w:val="20"/>
        </w:rPr>
        <w:t xml:space="preserve">target of government policies </w:t>
      </w:r>
      <w:r w:rsidR="00252477">
        <w:rPr>
          <w:rFonts w:eastAsia="Cambria"/>
          <w:sz w:val="20"/>
        </w:rPr>
        <w:t xml:space="preserve">for greenhouse gas </w:t>
      </w:r>
      <w:r w:rsidRPr="007A4CDC">
        <w:rPr>
          <w:rFonts w:eastAsia="Cambria"/>
          <w:sz w:val="20"/>
        </w:rPr>
        <w:t xml:space="preserve">abatement. Policymakers need to understand the potential impact that </w:t>
      </w:r>
      <w:r w:rsidR="00C33198">
        <w:rPr>
          <w:rFonts w:eastAsia="Cambria"/>
          <w:sz w:val="20"/>
        </w:rPr>
        <w:t xml:space="preserve">such </w:t>
      </w:r>
      <w:r w:rsidRPr="007A4CDC">
        <w:rPr>
          <w:rFonts w:eastAsia="Cambria"/>
          <w:sz w:val="20"/>
        </w:rPr>
        <w:t>decarboni</w:t>
      </w:r>
      <w:r w:rsidR="00DB4794">
        <w:rPr>
          <w:rFonts w:eastAsia="Cambria"/>
          <w:sz w:val="20"/>
        </w:rPr>
        <w:t>z</w:t>
      </w:r>
      <w:r w:rsidRPr="007A4CDC">
        <w:rPr>
          <w:rFonts w:eastAsia="Cambria"/>
          <w:sz w:val="20"/>
        </w:rPr>
        <w:t xml:space="preserve">ation </w:t>
      </w:r>
      <w:r w:rsidR="00C33198">
        <w:rPr>
          <w:rFonts w:eastAsia="Cambria"/>
          <w:sz w:val="20"/>
        </w:rPr>
        <w:t xml:space="preserve">policies </w:t>
      </w:r>
      <w:r w:rsidRPr="007A4CDC">
        <w:rPr>
          <w:rFonts w:eastAsia="Cambria"/>
          <w:sz w:val="20"/>
        </w:rPr>
        <w:t xml:space="preserve">have on the indoor environment and health </w:t>
      </w:r>
      <w:r w:rsidR="00C33198">
        <w:rPr>
          <w:rFonts w:eastAsia="Cambria"/>
          <w:sz w:val="20"/>
        </w:rPr>
        <w:t>for a full assessment of costs and benefits.</w:t>
      </w:r>
      <w:r w:rsidR="009920F6">
        <w:rPr>
          <w:rFonts w:eastAsia="Cambria"/>
          <w:sz w:val="20"/>
        </w:rPr>
        <w:t xml:space="preserve"> </w:t>
      </w:r>
      <w:r w:rsidR="00C33198">
        <w:rPr>
          <w:rFonts w:eastAsia="Cambria"/>
          <w:sz w:val="20"/>
        </w:rPr>
        <w:t>W</w:t>
      </w:r>
      <w:r w:rsidR="00C33198" w:rsidRPr="007A4CDC">
        <w:rPr>
          <w:rFonts w:eastAsia="Cambria"/>
          <w:sz w:val="20"/>
        </w:rPr>
        <w:t>e investigate</w:t>
      </w:r>
      <w:r w:rsidR="008C6201">
        <w:rPr>
          <w:rFonts w:eastAsia="Cambria"/>
          <w:sz w:val="20"/>
        </w:rPr>
        <w:t>d</w:t>
      </w:r>
      <w:r w:rsidR="00C33198" w:rsidRPr="007A4CDC">
        <w:rPr>
          <w:rFonts w:eastAsia="Cambria"/>
          <w:sz w:val="20"/>
        </w:rPr>
        <w:t xml:space="preserve"> the</w:t>
      </w:r>
      <w:r w:rsidR="00FB39E5">
        <w:rPr>
          <w:rFonts w:eastAsia="Cambria"/>
          <w:sz w:val="20"/>
        </w:rPr>
        <w:t>se</w:t>
      </w:r>
      <w:r w:rsidR="00C33198" w:rsidRPr="007A4CDC">
        <w:rPr>
          <w:rFonts w:eastAsia="Cambria"/>
          <w:sz w:val="20"/>
        </w:rPr>
        <w:t xml:space="preserve"> impacts in two</w:t>
      </w:r>
      <w:r w:rsidR="00C33198">
        <w:rPr>
          <w:rFonts w:eastAsia="Cambria"/>
          <w:sz w:val="20"/>
        </w:rPr>
        <w:t xml:space="preserve"> contrasting settings</w:t>
      </w:r>
      <w:r w:rsidR="00FB39E5">
        <w:rPr>
          <w:rFonts w:eastAsia="Cambria"/>
          <w:sz w:val="20"/>
        </w:rPr>
        <w:t xml:space="preserve"> of the UK</w:t>
      </w:r>
      <w:r w:rsidR="00C33198">
        <w:rPr>
          <w:rFonts w:eastAsia="Cambria"/>
          <w:sz w:val="20"/>
        </w:rPr>
        <w:t xml:space="preserve">: </w:t>
      </w:r>
      <w:r w:rsidRPr="007A4CDC">
        <w:rPr>
          <w:rFonts w:eastAsia="Cambria"/>
          <w:sz w:val="20"/>
        </w:rPr>
        <w:t>London, a predominantly older city and Milton Keynes, a growing new town. We employ</w:t>
      </w:r>
      <w:r w:rsidR="00364984">
        <w:rPr>
          <w:rFonts w:eastAsia="Cambria"/>
          <w:sz w:val="20"/>
        </w:rPr>
        <w:t>ed</w:t>
      </w:r>
      <w:r w:rsidRPr="007A4CDC">
        <w:rPr>
          <w:rFonts w:eastAsia="Cambria"/>
          <w:sz w:val="20"/>
        </w:rPr>
        <w:t xml:space="preserve"> SCRIBE</w:t>
      </w:r>
      <w:r w:rsidR="00425B70">
        <w:rPr>
          <w:rFonts w:eastAsia="Cambria"/>
          <w:sz w:val="20"/>
        </w:rPr>
        <w:t>,</w:t>
      </w:r>
      <w:r w:rsidRPr="007A4CDC">
        <w:rPr>
          <w:rFonts w:eastAsia="Cambria"/>
          <w:sz w:val="20"/>
        </w:rPr>
        <w:t xml:space="preserve"> a building physics-based health impact model of the UK housing stock linked to the English Housing </w:t>
      </w:r>
      <w:r w:rsidR="007A3B71" w:rsidRPr="007A4CDC">
        <w:rPr>
          <w:rFonts w:eastAsia="Cambria"/>
          <w:sz w:val="20"/>
        </w:rPr>
        <w:t>Survey,</w:t>
      </w:r>
      <w:r w:rsidRPr="007A4CDC">
        <w:rPr>
          <w:rFonts w:eastAsia="Cambria"/>
          <w:sz w:val="20"/>
        </w:rPr>
        <w:t xml:space="preserve"> to examine changes</w:t>
      </w:r>
      <w:r w:rsidR="00364984">
        <w:rPr>
          <w:rFonts w:eastAsia="Cambria"/>
          <w:sz w:val="20"/>
        </w:rPr>
        <w:t>,</w:t>
      </w:r>
      <w:r w:rsidRPr="007A4CDC">
        <w:rPr>
          <w:rFonts w:eastAsia="Cambria"/>
          <w:sz w:val="20"/>
        </w:rPr>
        <w:t xml:space="preserve"> </w:t>
      </w:r>
      <w:r w:rsidR="00364984" w:rsidRPr="007A4CDC">
        <w:rPr>
          <w:rFonts w:eastAsia="Cambria"/>
          <w:sz w:val="20"/>
        </w:rPr>
        <w:t>2010-2050</w:t>
      </w:r>
      <w:r w:rsidR="00364984">
        <w:rPr>
          <w:rFonts w:eastAsia="Cambria"/>
          <w:sz w:val="20"/>
        </w:rPr>
        <w:t>,</w:t>
      </w:r>
      <w:r w:rsidR="00364984" w:rsidRPr="007A4CDC">
        <w:rPr>
          <w:rFonts w:eastAsia="Cambria"/>
          <w:sz w:val="20"/>
        </w:rPr>
        <w:t xml:space="preserve"> </w:t>
      </w:r>
      <w:r w:rsidRPr="007A4CDC">
        <w:rPr>
          <w:rFonts w:eastAsia="Cambria"/>
          <w:sz w:val="20"/>
        </w:rPr>
        <w:t>in end-use energy demand, CO</w:t>
      </w:r>
      <w:r w:rsidRPr="007A4CDC">
        <w:rPr>
          <w:rFonts w:eastAsia="Cambria"/>
          <w:sz w:val="20"/>
          <w:vertAlign w:val="subscript"/>
        </w:rPr>
        <w:t xml:space="preserve">2 </w:t>
      </w:r>
      <w:r w:rsidRPr="007A4CDC">
        <w:rPr>
          <w:rFonts w:eastAsia="Cambria"/>
          <w:sz w:val="20"/>
        </w:rPr>
        <w:t>emissions</w:t>
      </w:r>
      <w:r w:rsidR="00364984">
        <w:rPr>
          <w:rFonts w:eastAsia="Cambria"/>
          <w:sz w:val="20"/>
        </w:rPr>
        <w:t>, winter indoor temperatures,</w:t>
      </w:r>
      <w:r w:rsidRPr="007A4CDC">
        <w:rPr>
          <w:rFonts w:eastAsia="Cambria"/>
          <w:sz w:val="20"/>
        </w:rPr>
        <w:t xml:space="preserve"> </w:t>
      </w:r>
      <w:r w:rsidR="00102363" w:rsidRPr="00102363">
        <w:rPr>
          <w:rFonts w:eastAsia="Cambria"/>
          <w:sz w:val="20"/>
        </w:rPr>
        <w:t>airborne</w:t>
      </w:r>
      <w:r w:rsidR="00102363">
        <w:rPr>
          <w:rFonts w:eastAsia="Cambria"/>
          <w:sz w:val="20"/>
          <w:vertAlign w:val="subscript"/>
        </w:rPr>
        <w:t xml:space="preserve"> </w:t>
      </w:r>
      <w:r w:rsidR="00102363">
        <w:rPr>
          <w:rFonts w:eastAsia="Cambria"/>
          <w:sz w:val="20"/>
        </w:rPr>
        <w:t>pollutant</w:t>
      </w:r>
      <w:r w:rsidR="009920F6" w:rsidRPr="009920F6">
        <w:rPr>
          <w:rFonts w:eastAsia="Cambria"/>
          <w:sz w:val="20"/>
          <w:vertAlign w:val="subscript"/>
        </w:rPr>
        <w:t xml:space="preserve"> </w:t>
      </w:r>
      <w:r w:rsidRPr="007A4CDC">
        <w:rPr>
          <w:rFonts w:eastAsia="Cambria"/>
          <w:sz w:val="20"/>
        </w:rPr>
        <w:t xml:space="preserve">concentrations </w:t>
      </w:r>
      <w:r w:rsidR="009378E6">
        <w:rPr>
          <w:rFonts w:eastAsia="Cambria"/>
          <w:sz w:val="20"/>
        </w:rPr>
        <w:t xml:space="preserve">and </w:t>
      </w:r>
      <w:r w:rsidRPr="007A4CDC">
        <w:rPr>
          <w:rFonts w:eastAsia="Cambria"/>
          <w:sz w:val="20"/>
        </w:rPr>
        <w:t xml:space="preserve">associated health impacts. </w:t>
      </w:r>
      <w:r w:rsidR="00904C91">
        <w:rPr>
          <w:rFonts w:eastAsia="Cambria"/>
          <w:sz w:val="20"/>
        </w:rPr>
        <w:t xml:space="preserve">For each </w:t>
      </w:r>
      <w:r w:rsidR="00526E33">
        <w:rPr>
          <w:rFonts w:eastAsia="Cambria"/>
          <w:sz w:val="20"/>
        </w:rPr>
        <w:t xml:space="preserve">location </w:t>
      </w:r>
      <w:r w:rsidR="00904C91">
        <w:rPr>
          <w:rFonts w:eastAsia="Cambria"/>
          <w:sz w:val="20"/>
        </w:rPr>
        <w:t>w</w:t>
      </w:r>
      <w:r w:rsidR="008C6201">
        <w:rPr>
          <w:rFonts w:eastAsia="Cambria"/>
          <w:sz w:val="20"/>
        </w:rPr>
        <w:t xml:space="preserve">e </w:t>
      </w:r>
      <w:r w:rsidR="00904C91">
        <w:rPr>
          <w:rFonts w:eastAsia="Cambria"/>
          <w:sz w:val="20"/>
        </w:rPr>
        <w:t>modelled</w:t>
      </w:r>
      <w:r w:rsidR="00364984">
        <w:rPr>
          <w:rFonts w:eastAsia="Cambria"/>
          <w:sz w:val="20"/>
        </w:rPr>
        <w:t xml:space="preserve"> </w:t>
      </w:r>
      <w:r w:rsidR="003D2E06">
        <w:rPr>
          <w:rFonts w:eastAsia="Cambria"/>
          <w:sz w:val="20"/>
        </w:rPr>
        <w:t>the</w:t>
      </w:r>
      <w:r w:rsidR="00E04BB6">
        <w:rPr>
          <w:rFonts w:eastAsia="Cambria"/>
          <w:sz w:val="20"/>
        </w:rPr>
        <w:t xml:space="preserve"> </w:t>
      </w:r>
      <w:r w:rsidR="00526E33">
        <w:rPr>
          <w:rFonts w:eastAsia="Cambria"/>
          <w:sz w:val="20"/>
        </w:rPr>
        <w:t xml:space="preserve">existing (2010) </w:t>
      </w:r>
      <w:r w:rsidR="003D2E06">
        <w:rPr>
          <w:rFonts w:eastAsia="Cambria"/>
          <w:sz w:val="20"/>
        </w:rPr>
        <w:t xml:space="preserve">housing </w:t>
      </w:r>
      <w:r w:rsidR="00E04BB6">
        <w:rPr>
          <w:rFonts w:eastAsia="Cambria"/>
          <w:sz w:val="20"/>
        </w:rPr>
        <w:t>stock</w:t>
      </w:r>
      <w:r w:rsidR="00526E33">
        <w:rPr>
          <w:rFonts w:eastAsia="Cambria"/>
          <w:sz w:val="20"/>
        </w:rPr>
        <w:t xml:space="preserve"> and three future scenarios</w:t>
      </w:r>
      <w:r w:rsidR="00887A52">
        <w:rPr>
          <w:rFonts w:eastAsia="Cambria"/>
          <w:sz w:val="20"/>
        </w:rPr>
        <w:t xml:space="preserve"> with </w:t>
      </w:r>
      <w:r w:rsidR="00904C91">
        <w:rPr>
          <w:rFonts w:eastAsia="Cambria"/>
          <w:sz w:val="20"/>
        </w:rPr>
        <w:t>different levels of energy efficiency intervention</w:t>
      </w:r>
      <w:r w:rsidR="00731A21">
        <w:rPr>
          <w:rFonts w:eastAsia="Cambria"/>
          <w:sz w:val="20"/>
        </w:rPr>
        <w:t xml:space="preserve">s combined with </w:t>
      </w:r>
      <w:r w:rsidR="00AE47C5">
        <w:rPr>
          <w:rFonts w:eastAsia="Cambria"/>
          <w:sz w:val="20"/>
        </w:rPr>
        <w:t>either</w:t>
      </w:r>
      <w:r w:rsidR="00904C91">
        <w:rPr>
          <w:rFonts w:eastAsia="Cambria"/>
          <w:sz w:val="20"/>
        </w:rPr>
        <w:t xml:space="preserve"> </w:t>
      </w:r>
      <w:r w:rsidR="000052EA">
        <w:rPr>
          <w:rFonts w:eastAsia="Cambria"/>
          <w:sz w:val="20"/>
        </w:rPr>
        <w:t>a business-as-</w:t>
      </w:r>
      <w:r w:rsidR="006077E6">
        <w:rPr>
          <w:rFonts w:eastAsia="Cambria"/>
          <w:sz w:val="20"/>
        </w:rPr>
        <w:t>usual</w:t>
      </w:r>
      <w:r w:rsidR="00D437BF">
        <w:rPr>
          <w:rFonts w:eastAsia="Cambria"/>
          <w:sz w:val="20"/>
        </w:rPr>
        <w:t>,</w:t>
      </w:r>
      <w:r w:rsidR="006077E6">
        <w:rPr>
          <w:rFonts w:eastAsia="Cambria"/>
          <w:sz w:val="20"/>
        </w:rPr>
        <w:t xml:space="preserve"> or</w:t>
      </w:r>
      <w:r w:rsidR="00904C91">
        <w:rPr>
          <w:rFonts w:eastAsia="Cambria"/>
          <w:sz w:val="20"/>
        </w:rPr>
        <w:t xml:space="preserve"> </w:t>
      </w:r>
      <w:r w:rsidR="000052EA">
        <w:rPr>
          <w:rFonts w:eastAsia="Cambria"/>
          <w:sz w:val="20"/>
        </w:rPr>
        <w:t xml:space="preserve">accelerated </w:t>
      </w:r>
      <w:r w:rsidR="00904C91">
        <w:rPr>
          <w:rFonts w:eastAsia="Cambria"/>
          <w:sz w:val="20"/>
        </w:rPr>
        <w:t>decarbonization of the electricity grid</w:t>
      </w:r>
      <w:r w:rsidR="006C0FC9">
        <w:rPr>
          <w:rFonts w:eastAsia="Cambria"/>
          <w:sz w:val="20"/>
        </w:rPr>
        <w:t xml:space="preserve"> </w:t>
      </w:r>
      <w:r w:rsidR="00AE47C5">
        <w:rPr>
          <w:rFonts w:eastAsia="Cambria"/>
          <w:sz w:val="20"/>
        </w:rPr>
        <w:t>approach</w:t>
      </w:r>
      <w:r w:rsidR="00904C91">
        <w:rPr>
          <w:rFonts w:eastAsia="Cambria"/>
          <w:sz w:val="20"/>
        </w:rPr>
        <w:t>.</w:t>
      </w:r>
      <w:r w:rsidR="00425B70" w:rsidRPr="00425B70">
        <w:rPr>
          <w:rFonts w:eastAsia="Cambria"/>
          <w:sz w:val="20"/>
        </w:rPr>
        <w:t xml:space="preserve"> </w:t>
      </w:r>
      <w:r>
        <w:rPr>
          <w:rFonts w:eastAsia="Cambria"/>
          <w:sz w:val="20"/>
        </w:rPr>
        <w:t xml:space="preserve">The </w:t>
      </w:r>
      <w:r w:rsidRPr="007A4CDC">
        <w:rPr>
          <w:rFonts w:eastAsia="Cambria"/>
          <w:sz w:val="20"/>
        </w:rPr>
        <w:t>potential for CO</w:t>
      </w:r>
      <w:r w:rsidRPr="007A4CDC">
        <w:rPr>
          <w:rFonts w:eastAsia="Cambria"/>
          <w:sz w:val="20"/>
          <w:vertAlign w:val="subscript"/>
        </w:rPr>
        <w:t>2</w:t>
      </w:r>
      <w:r w:rsidRPr="007A4CDC">
        <w:rPr>
          <w:rFonts w:eastAsia="Cambria"/>
          <w:sz w:val="20"/>
        </w:rPr>
        <w:t xml:space="preserve"> savings </w:t>
      </w:r>
      <w:r w:rsidR="001B748A">
        <w:rPr>
          <w:rFonts w:eastAsia="Cambria"/>
          <w:sz w:val="20"/>
        </w:rPr>
        <w:t>wa</w:t>
      </w:r>
      <w:r w:rsidR="009378E6">
        <w:rPr>
          <w:rFonts w:eastAsia="Cambria"/>
          <w:sz w:val="20"/>
        </w:rPr>
        <w:t>s</w:t>
      </w:r>
      <w:r w:rsidRPr="007A4CDC">
        <w:rPr>
          <w:rFonts w:eastAsia="Cambria"/>
          <w:sz w:val="20"/>
        </w:rPr>
        <w:t xml:space="preserve"> </w:t>
      </w:r>
      <w:r w:rsidR="00636964">
        <w:rPr>
          <w:rFonts w:eastAsia="Cambria"/>
          <w:sz w:val="20"/>
        </w:rPr>
        <w:t xml:space="preserve">appreciably </w:t>
      </w:r>
      <w:r w:rsidRPr="007A4CDC">
        <w:rPr>
          <w:rFonts w:eastAsia="Cambria"/>
          <w:sz w:val="20"/>
        </w:rPr>
        <w:t>greater in London than Milton Keynes</w:t>
      </w:r>
      <w:r w:rsidR="00DB4794">
        <w:rPr>
          <w:rFonts w:eastAsia="Cambria"/>
          <w:sz w:val="20"/>
        </w:rPr>
        <w:t xml:space="preserve"> except when substantial decarbonization of the electricity grid was assumed</w:t>
      </w:r>
      <w:r w:rsidR="00887A52">
        <w:rPr>
          <w:rFonts w:eastAsia="Cambria"/>
          <w:sz w:val="20"/>
        </w:rPr>
        <w:t>,</w:t>
      </w:r>
      <w:r w:rsidRPr="007A4CDC">
        <w:rPr>
          <w:rFonts w:eastAsia="Cambria"/>
          <w:sz w:val="20"/>
        </w:rPr>
        <w:t xml:space="preserve"> </w:t>
      </w:r>
      <w:r w:rsidR="002501D0">
        <w:rPr>
          <w:rFonts w:eastAsia="Cambria"/>
          <w:sz w:val="20"/>
        </w:rPr>
        <w:t xml:space="preserve">largely </w:t>
      </w:r>
      <w:r w:rsidR="009378E6">
        <w:rPr>
          <w:rFonts w:eastAsia="Cambria"/>
          <w:sz w:val="20"/>
        </w:rPr>
        <w:t xml:space="preserve">because of the lower level of </w:t>
      </w:r>
      <w:r>
        <w:rPr>
          <w:rFonts w:eastAsia="Cambria"/>
          <w:sz w:val="20"/>
        </w:rPr>
        <w:t xml:space="preserve">current energy efficiency </w:t>
      </w:r>
      <w:r w:rsidR="001B748A">
        <w:rPr>
          <w:rFonts w:eastAsia="Cambria"/>
          <w:sz w:val="20"/>
        </w:rPr>
        <w:t>in London</w:t>
      </w:r>
      <w:r w:rsidR="009920F6">
        <w:rPr>
          <w:rFonts w:eastAsia="Cambria"/>
          <w:sz w:val="20"/>
        </w:rPr>
        <w:t xml:space="preserve"> </w:t>
      </w:r>
      <w:r w:rsidRPr="007A4CDC">
        <w:rPr>
          <w:rFonts w:eastAsia="Cambria"/>
          <w:sz w:val="20"/>
        </w:rPr>
        <w:t xml:space="preserve">and </w:t>
      </w:r>
      <w:r w:rsidR="001B748A">
        <w:rPr>
          <w:rFonts w:eastAsia="Cambria"/>
          <w:sz w:val="20"/>
        </w:rPr>
        <w:t xml:space="preserve">differences in </w:t>
      </w:r>
      <w:r>
        <w:rPr>
          <w:rFonts w:eastAsia="Cambria"/>
          <w:sz w:val="20"/>
        </w:rPr>
        <w:t xml:space="preserve">the </w:t>
      </w:r>
      <w:r w:rsidR="009378E6">
        <w:rPr>
          <w:rFonts w:eastAsia="Cambria"/>
          <w:sz w:val="20"/>
        </w:rPr>
        <w:t xml:space="preserve">type and form of </w:t>
      </w:r>
      <w:r w:rsidR="004E02AA">
        <w:rPr>
          <w:rFonts w:eastAsia="Cambria"/>
          <w:sz w:val="20"/>
        </w:rPr>
        <w:t xml:space="preserve">the </w:t>
      </w:r>
      <w:r w:rsidR="009378E6">
        <w:rPr>
          <w:rFonts w:eastAsia="Cambria"/>
          <w:sz w:val="20"/>
        </w:rPr>
        <w:t>housing stock.</w:t>
      </w:r>
      <w:r w:rsidR="002501D0">
        <w:rPr>
          <w:rFonts w:eastAsia="Cambria"/>
          <w:sz w:val="20"/>
        </w:rPr>
        <w:t xml:space="preserve"> </w:t>
      </w:r>
      <w:r w:rsidR="00DB4794">
        <w:rPr>
          <w:rFonts w:eastAsia="Cambria"/>
          <w:sz w:val="20"/>
        </w:rPr>
        <w:t xml:space="preserve">The average net impact on health per thousand population was greater </w:t>
      </w:r>
      <w:r w:rsidR="002501D0">
        <w:rPr>
          <w:rFonts w:eastAsia="Cambria"/>
          <w:sz w:val="20"/>
        </w:rPr>
        <w:t xml:space="preserve">in magnitude under all scenarios </w:t>
      </w:r>
      <w:r w:rsidR="00DB4794">
        <w:rPr>
          <w:rFonts w:eastAsia="Cambria"/>
          <w:sz w:val="20"/>
        </w:rPr>
        <w:t>in London</w:t>
      </w:r>
      <w:r w:rsidR="004E02AA">
        <w:rPr>
          <w:rFonts w:eastAsia="Cambria"/>
          <w:sz w:val="20"/>
        </w:rPr>
        <w:t xml:space="preserve"> </w:t>
      </w:r>
      <w:r w:rsidR="00731A21">
        <w:rPr>
          <w:rFonts w:eastAsia="Cambria"/>
          <w:sz w:val="20"/>
        </w:rPr>
        <w:t xml:space="preserve">compared to Milton Keynes </w:t>
      </w:r>
      <w:r w:rsidR="004E02AA">
        <w:rPr>
          <w:rFonts w:eastAsia="Cambria"/>
          <w:sz w:val="20"/>
        </w:rPr>
        <w:t>and</w:t>
      </w:r>
      <w:r w:rsidR="00DB4794">
        <w:rPr>
          <w:rFonts w:eastAsia="Cambria"/>
          <w:sz w:val="20"/>
        </w:rPr>
        <w:t xml:space="preserve"> more beneficial when it was assumed that purpose-provided ventilation </w:t>
      </w:r>
      <w:r w:rsidR="004E02AA">
        <w:rPr>
          <w:rFonts w:eastAsia="Cambria"/>
          <w:sz w:val="20"/>
        </w:rPr>
        <w:t xml:space="preserve">(PPV) </w:t>
      </w:r>
      <w:r w:rsidR="00DB4794">
        <w:rPr>
          <w:rFonts w:eastAsia="Cambria"/>
          <w:sz w:val="20"/>
        </w:rPr>
        <w:t xml:space="preserve">would be </w:t>
      </w:r>
      <w:r w:rsidR="002501D0">
        <w:rPr>
          <w:rFonts w:eastAsia="Cambria"/>
          <w:sz w:val="20"/>
        </w:rPr>
        <w:t>part of energy efficiency interventions</w:t>
      </w:r>
      <w:r w:rsidR="00DB4794">
        <w:rPr>
          <w:rFonts w:eastAsia="Cambria"/>
          <w:sz w:val="20"/>
        </w:rPr>
        <w:t xml:space="preserve">, but more detrimental </w:t>
      </w:r>
      <w:r w:rsidR="00AA3339">
        <w:rPr>
          <w:rFonts w:eastAsia="Cambria"/>
          <w:sz w:val="20"/>
        </w:rPr>
        <w:t xml:space="preserve">when interventions were assumed </w:t>
      </w:r>
      <w:r w:rsidR="00AA3339" w:rsidRPr="00401320">
        <w:rPr>
          <w:rFonts w:eastAsia="Cambria"/>
          <w:i/>
          <w:sz w:val="20"/>
        </w:rPr>
        <w:t>not</w:t>
      </w:r>
      <w:r w:rsidR="00AA3339">
        <w:rPr>
          <w:rFonts w:eastAsia="Cambria"/>
          <w:sz w:val="20"/>
        </w:rPr>
        <w:t xml:space="preserve"> to include</w:t>
      </w:r>
      <w:r w:rsidR="00102363">
        <w:rPr>
          <w:rFonts w:eastAsia="Cambria"/>
          <w:sz w:val="20"/>
        </w:rPr>
        <w:t xml:space="preserve"> </w:t>
      </w:r>
      <w:r w:rsidR="004E02AA">
        <w:rPr>
          <w:rFonts w:eastAsia="Cambria"/>
          <w:sz w:val="20"/>
        </w:rPr>
        <w:t>PPV</w:t>
      </w:r>
      <w:r w:rsidR="00AA3339">
        <w:rPr>
          <w:rFonts w:eastAsia="Cambria"/>
          <w:sz w:val="20"/>
        </w:rPr>
        <w:t>.</w:t>
      </w:r>
      <w:r w:rsidR="002501D0">
        <w:rPr>
          <w:rFonts w:eastAsia="Cambria"/>
          <w:sz w:val="20"/>
        </w:rPr>
        <w:t xml:space="preserve"> </w:t>
      </w:r>
      <w:r w:rsidR="00425B70">
        <w:rPr>
          <w:rFonts w:eastAsia="Cambria"/>
          <w:sz w:val="20"/>
        </w:rPr>
        <w:t xml:space="preserve">These findings illustrate </w:t>
      </w:r>
      <w:r w:rsidR="00887A52">
        <w:rPr>
          <w:rFonts w:eastAsia="Cambria"/>
          <w:sz w:val="20"/>
        </w:rPr>
        <w:t xml:space="preserve">the importance of considering ventilation measures for health protection and </w:t>
      </w:r>
      <w:r w:rsidR="00425B70">
        <w:rPr>
          <w:rFonts w:eastAsia="Cambria"/>
          <w:sz w:val="20"/>
        </w:rPr>
        <w:t>the potential variation in the impact of home energy efficiency strategies</w:t>
      </w:r>
      <w:r w:rsidR="00D437BF">
        <w:rPr>
          <w:rFonts w:eastAsia="Cambria"/>
          <w:sz w:val="20"/>
        </w:rPr>
        <w:t>,</w:t>
      </w:r>
      <w:r w:rsidR="00E04BB6">
        <w:rPr>
          <w:rFonts w:eastAsia="Cambria"/>
          <w:sz w:val="20"/>
        </w:rPr>
        <w:t xml:space="preserve"> </w:t>
      </w:r>
      <w:r w:rsidR="00731A21" w:rsidRPr="00731A21">
        <w:rPr>
          <w:rFonts w:eastAsia="Cambria"/>
          <w:sz w:val="20"/>
        </w:rPr>
        <w:t>suggesting the need for tailored policy approaches</w:t>
      </w:r>
      <w:r w:rsidR="00887A52" w:rsidRPr="00887A52">
        <w:rPr>
          <w:rFonts w:eastAsia="Cambria"/>
          <w:sz w:val="20"/>
        </w:rPr>
        <w:t xml:space="preserve"> </w:t>
      </w:r>
      <w:r w:rsidR="00887A52" w:rsidRPr="00731A21">
        <w:rPr>
          <w:rFonts w:eastAsia="Cambria"/>
          <w:sz w:val="20"/>
        </w:rPr>
        <w:t xml:space="preserve">in </w:t>
      </w:r>
      <w:r w:rsidR="00887A52">
        <w:rPr>
          <w:rFonts w:eastAsia="Cambria"/>
          <w:sz w:val="20"/>
        </w:rPr>
        <w:t>different</w:t>
      </w:r>
      <w:r w:rsidR="00887A52" w:rsidRPr="00731A21">
        <w:rPr>
          <w:rFonts w:eastAsia="Cambria"/>
          <w:sz w:val="20"/>
        </w:rPr>
        <w:t xml:space="preserve"> location</w:t>
      </w:r>
      <w:r w:rsidR="00887A52">
        <w:rPr>
          <w:rFonts w:eastAsia="Cambria"/>
          <w:sz w:val="20"/>
        </w:rPr>
        <w:t>s,</w:t>
      </w:r>
      <w:r w:rsidR="00AE47C5">
        <w:rPr>
          <w:rFonts w:eastAsia="Cambria"/>
          <w:sz w:val="20"/>
        </w:rPr>
        <w:t xml:space="preserve"> rather than </w:t>
      </w:r>
      <w:r w:rsidR="00887A52">
        <w:rPr>
          <w:rFonts w:eastAsia="Cambria"/>
          <w:sz w:val="20"/>
        </w:rPr>
        <w:t xml:space="preserve">adopting </w:t>
      </w:r>
      <w:r w:rsidR="00AE47C5">
        <w:rPr>
          <w:rFonts w:eastAsia="Cambria"/>
          <w:sz w:val="20"/>
        </w:rPr>
        <w:t xml:space="preserve">a </w:t>
      </w:r>
      <w:r w:rsidR="00887A52">
        <w:rPr>
          <w:rFonts w:eastAsia="Cambria"/>
          <w:sz w:val="20"/>
        </w:rPr>
        <w:t>universally rolled out</w:t>
      </w:r>
      <w:r w:rsidR="00AE47C5">
        <w:rPr>
          <w:rFonts w:eastAsia="Cambria"/>
          <w:sz w:val="20"/>
        </w:rPr>
        <w:t xml:space="preserve"> strategy</w:t>
      </w:r>
      <w:r w:rsidR="00887A52">
        <w:rPr>
          <w:rFonts w:eastAsia="Cambria"/>
          <w:sz w:val="20"/>
        </w:rPr>
        <w:t>.</w:t>
      </w:r>
    </w:p>
    <w:p w14:paraId="61920345" w14:textId="77777777" w:rsidR="00486B92" w:rsidRDefault="00486B92" w:rsidP="00486B92">
      <w:pPr>
        <w:spacing w:after="0"/>
        <w:contextualSpacing/>
        <w:divId w:val="434059591"/>
        <w:rPr>
          <w:rFonts w:eastAsia="Times New Roman"/>
          <w:b/>
          <w:color w:val="000000" w:themeColor="text1"/>
          <w:szCs w:val="24"/>
          <w:lang w:eastAsia="en-GB"/>
        </w:rPr>
      </w:pPr>
    </w:p>
    <w:p w14:paraId="39945C23" w14:textId="77777777" w:rsidR="00486B92" w:rsidRDefault="00486B92">
      <w:pPr>
        <w:spacing w:after="200" w:line="276" w:lineRule="auto"/>
        <w:jc w:val="left"/>
        <w:rPr>
          <w:rFonts w:eastAsia="Times New Roman"/>
          <w:b/>
          <w:color w:val="000000" w:themeColor="text1"/>
          <w:szCs w:val="24"/>
          <w:lang w:eastAsia="en-GB"/>
        </w:rPr>
      </w:pPr>
      <w:r>
        <w:rPr>
          <w:rFonts w:eastAsia="Times New Roman"/>
          <w:b/>
          <w:color w:val="000000" w:themeColor="text1"/>
          <w:szCs w:val="24"/>
          <w:lang w:eastAsia="en-GB"/>
        </w:rPr>
        <w:br w:type="page"/>
      </w:r>
    </w:p>
    <w:p w14:paraId="0B9F7E0A" w14:textId="77777777" w:rsidR="00AE10D8" w:rsidRDefault="00AE10D8" w:rsidP="00AA716D">
      <w:pPr>
        <w:pStyle w:val="ListParagraph"/>
        <w:numPr>
          <w:ilvl w:val="0"/>
          <w:numId w:val="22"/>
        </w:numPr>
        <w:spacing w:after="0"/>
        <w:divId w:val="434059591"/>
        <w:rPr>
          <w:rFonts w:eastAsia="Times New Roman"/>
          <w:b/>
          <w:color w:val="000000" w:themeColor="text1"/>
          <w:sz w:val="20"/>
          <w:szCs w:val="20"/>
          <w:lang w:eastAsia="en-GB"/>
        </w:rPr>
      </w:pPr>
      <w:r w:rsidRPr="00D35F39">
        <w:rPr>
          <w:rFonts w:eastAsia="Times New Roman"/>
          <w:b/>
          <w:color w:val="000000" w:themeColor="text1"/>
          <w:sz w:val="20"/>
          <w:szCs w:val="20"/>
          <w:lang w:eastAsia="en-GB"/>
        </w:rPr>
        <w:lastRenderedPageBreak/>
        <w:t>Introduction</w:t>
      </w:r>
    </w:p>
    <w:p w14:paraId="00B2F883" w14:textId="77777777" w:rsidR="00707CBF" w:rsidRPr="00707CBF" w:rsidRDefault="00707CBF" w:rsidP="00707CBF">
      <w:pPr>
        <w:spacing w:after="0"/>
        <w:ind w:left="360"/>
        <w:divId w:val="434059591"/>
        <w:rPr>
          <w:rFonts w:eastAsia="Times New Roman"/>
          <w:b/>
          <w:color w:val="000000" w:themeColor="text1"/>
          <w:sz w:val="20"/>
          <w:szCs w:val="20"/>
          <w:lang w:eastAsia="en-GB"/>
        </w:rPr>
      </w:pPr>
    </w:p>
    <w:p w14:paraId="12565E3A" w14:textId="6A0D3386" w:rsidR="00887A52" w:rsidRDefault="000B0813" w:rsidP="003928C5">
      <w:pPr>
        <w:spacing w:line="480" w:lineRule="auto"/>
        <w:divId w:val="434059591"/>
        <w:rPr>
          <w:rFonts w:eastAsia="Cambria"/>
          <w:bCs/>
          <w:sz w:val="20"/>
          <w:szCs w:val="20"/>
        </w:rPr>
      </w:pPr>
      <w:r w:rsidRPr="00D35F39">
        <w:rPr>
          <w:rFonts w:eastAsia="Cambria"/>
          <w:sz w:val="20"/>
          <w:szCs w:val="20"/>
        </w:rPr>
        <w:t xml:space="preserve">Housing </w:t>
      </w:r>
      <w:r w:rsidRPr="00D35F39">
        <w:rPr>
          <w:sz w:val="20"/>
          <w:szCs w:val="20"/>
        </w:rPr>
        <w:t xml:space="preserve">is responsible for one quarter of the </w:t>
      </w:r>
      <w:r w:rsidR="00B01B1E" w:rsidRPr="00D35F39">
        <w:rPr>
          <w:sz w:val="20"/>
          <w:szCs w:val="20"/>
        </w:rPr>
        <w:t>UK</w:t>
      </w:r>
      <w:r w:rsidR="0086457B">
        <w:rPr>
          <w:sz w:val="20"/>
          <w:szCs w:val="20"/>
        </w:rPr>
        <w:t>’s</w:t>
      </w:r>
      <w:r w:rsidR="00B01B1E" w:rsidRPr="00D35F39">
        <w:rPr>
          <w:sz w:val="20"/>
          <w:szCs w:val="20"/>
        </w:rPr>
        <w:t xml:space="preserve"> </w:t>
      </w:r>
      <w:r w:rsidRPr="00D35F39">
        <w:rPr>
          <w:sz w:val="20"/>
          <w:szCs w:val="20"/>
        </w:rPr>
        <w:t xml:space="preserve">total </w:t>
      </w:r>
      <w:r w:rsidR="00486B92" w:rsidRPr="00D35F39">
        <w:rPr>
          <w:sz w:val="20"/>
          <w:szCs w:val="20"/>
        </w:rPr>
        <w:t>e</w:t>
      </w:r>
      <w:r w:rsidR="007A370C" w:rsidRPr="00D35F39">
        <w:rPr>
          <w:sz w:val="20"/>
          <w:szCs w:val="20"/>
        </w:rPr>
        <w:t>nd</w:t>
      </w:r>
      <w:r w:rsidR="00486B92" w:rsidRPr="00D35F39">
        <w:rPr>
          <w:sz w:val="20"/>
          <w:szCs w:val="20"/>
        </w:rPr>
        <w:t>-use</w:t>
      </w:r>
      <w:r w:rsidR="007A370C" w:rsidRPr="00D35F39">
        <w:rPr>
          <w:sz w:val="20"/>
          <w:szCs w:val="20"/>
        </w:rPr>
        <w:t>r</w:t>
      </w:r>
      <w:r w:rsidR="00486B92" w:rsidRPr="00D35F39">
        <w:rPr>
          <w:sz w:val="20"/>
          <w:szCs w:val="20"/>
        </w:rPr>
        <w:t xml:space="preserve"> </w:t>
      </w:r>
      <w:r w:rsidRPr="00D35F39">
        <w:rPr>
          <w:sz w:val="20"/>
          <w:szCs w:val="20"/>
        </w:rPr>
        <w:t>CO</w:t>
      </w:r>
      <w:r w:rsidRPr="00D35F39">
        <w:rPr>
          <w:sz w:val="20"/>
          <w:szCs w:val="20"/>
          <w:vertAlign w:val="subscript"/>
        </w:rPr>
        <w:t>2</w:t>
      </w:r>
      <w:r w:rsidRPr="00D35F39">
        <w:rPr>
          <w:sz w:val="20"/>
          <w:szCs w:val="20"/>
        </w:rPr>
        <w:t xml:space="preserve"> emissions</w:t>
      </w:r>
      <w:r w:rsidR="001566E4" w:rsidRPr="00D35F39">
        <w:rPr>
          <w:sz w:val="20"/>
          <w:szCs w:val="20"/>
        </w:rPr>
        <w:t xml:space="preserve">, </w:t>
      </w:r>
      <w:r w:rsidR="00162F9B" w:rsidRPr="00D35F39">
        <w:rPr>
          <w:sz w:val="20"/>
          <w:szCs w:val="20"/>
        </w:rPr>
        <w:t xml:space="preserve">half </w:t>
      </w:r>
      <w:r w:rsidR="00425B70">
        <w:rPr>
          <w:sz w:val="20"/>
          <w:szCs w:val="20"/>
        </w:rPr>
        <w:t xml:space="preserve">of which comes </w:t>
      </w:r>
      <w:r w:rsidR="00162F9B" w:rsidRPr="00D35F39">
        <w:rPr>
          <w:sz w:val="20"/>
          <w:szCs w:val="20"/>
        </w:rPr>
        <w:t>from space heating</w:t>
      </w:r>
      <w:r w:rsidRPr="00D35F39">
        <w:rPr>
          <w:sz w:val="20"/>
          <w:szCs w:val="20"/>
        </w:rPr>
        <w:t xml:space="preserve"> (</w:t>
      </w:r>
      <w:r w:rsidR="00554214" w:rsidRPr="00D35F39">
        <w:rPr>
          <w:sz w:val="20"/>
          <w:szCs w:val="20"/>
        </w:rPr>
        <w:t>Hamilton et al</w:t>
      </w:r>
      <w:r w:rsidR="00380773" w:rsidRPr="00D35F39">
        <w:rPr>
          <w:sz w:val="20"/>
          <w:szCs w:val="20"/>
        </w:rPr>
        <w:t>.,</w:t>
      </w:r>
      <w:r w:rsidR="00554214" w:rsidRPr="00D35F39">
        <w:rPr>
          <w:sz w:val="20"/>
          <w:szCs w:val="20"/>
        </w:rPr>
        <w:t xml:space="preserve"> 2009</w:t>
      </w:r>
      <w:r w:rsidR="00380773" w:rsidRPr="00D35F39">
        <w:rPr>
          <w:sz w:val="20"/>
          <w:szCs w:val="20"/>
        </w:rPr>
        <w:t xml:space="preserve">; </w:t>
      </w:r>
      <w:r w:rsidRPr="00D35F39">
        <w:rPr>
          <w:sz w:val="20"/>
          <w:szCs w:val="20"/>
        </w:rPr>
        <w:t>DECC, 2011).</w:t>
      </w:r>
      <w:r w:rsidRPr="00D35F39">
        <w:rPr>
          <w:rFonts w:eastAsia="Cambria"/>
          <w:sz w:val="20"/>
          <w:szCs w:val="20"/>
        </w:rPr>
        <w:t xml:space="preserve"> Motivated by </w:t>
      </w:r>
      <w:r w:rsidR="00041397" w:rsidRPr="00D35F39">
        <w:rPr>
          <w:rFonts w:eastAsia="Cambria"/>
          <w:sz w:val="20"/>
          <w:szCs w:val="20"/>
        </w:rPr>
        <w:t>CO</w:t>
      </w:r>
      <w:r w:rsidR="00041397" w:rsidRPr="00D35F39">
        <w:rPr>
          <w:rFonts w:eastAsia="Cambria"/>
          <w:sz w:val="20"/>
          <w:szCs w:val="20"/>
          <w:vertAlign w:val="subscript"/>
        </w:rPr>
        <w:t>2</w:t>
      </w:r>
      <w:r w:rsidR="00041397" w:rsidRPr="00D35F39">
        <w:rPr>
          <w:rFonts w:eastAsia="Cambria"/>
          <w:sz w:val="20"/>
          <w:szCs w:val="20"/>
        </w:rPr>
        <w:t xml:space="preserve"> emissions </w:t>
      </w:r>
      <w:r w:rsidRPr="00D35F39">
        <w:rPr>
          <w:rFonts w:eastAsia="Cambria"/>
          <w:sz w:val="20"/>
          <w:szCs w:val="20"/>
        </w:rPr>
        <w:t>reduction targets, fuel poverty, energy security and in response to the EU Energy Performance of Buildings Directive (EPBD), the UK Government is implementing policies designed to make major improvements to the energy performance of the housing stock (DECC,</w:t>
      </w:r>
      <w:r w:rsidR="002C1A15" w:rsidRPr="00D35F39">
        <w:rPr>
          <w:rFonts w:eastAsia="Cambria"/>
          <w:sz w:val="20"/>
          <w:szCs w:val="20"/>
        </w:rPr>
        <w:t xml:space="preserve"> </w:t>
      </w:r>
      <w:r w:rsidRPr="00D35F39">
        <w:rPr>
          <w:rFonts w:eastAsia="Cambria"/>
          <w:sz w:val="20"/>
          <w:szCs w:val="20"/>
        </w:rPr>
        <w:t>2009; EU,</w:t>
      </w:r>
      <w:r w:rsidR="002C1A15" w:rsidRPr="00D35F39">
        <w:rPr>
          <w:rFonts w:eastAsia="Cambria"/>
          <w:sz w:val="20"/>
          <w:szCs w:val="20"/>
        </w:rPr>
        <w:t xml:space="preserve"> </w:t>
      </w:r>
      <w:r w:rsidRPr="00D35F39">
        <w:rPr>
          <w:rFonts w:eastAsia="Cambria"/>
          <w:sz w:val="20"/>
          <w:szCs w:val="20"/>
        </w:rPr>
        <w:t>2011</w:t>
      </w:r>
      <w:r w:rsidR="009B49AC">
        <w:rPr>
          <w:rFonts w:eastAsia="Cambria"/>
          <w:sz w:val="20"/>
          <w:szCs w:val="20"/>
        </w:rPr>
        <w:t>a</w:t>
      </w:r>
      <w:r w:rsidRPr="00D35F39">
        <w:rPr>
          <w:rFonts w:eastAsia="Cambria"/>
          <w:sz w:val="20"/>
          <w:szCs w:val="20"/>
        </w:rPr>
        <w:t>).</w:t>
      </w:r>
      <w:r w:rsidRPr="00D35F39">
        <w:rPr>
          <w:sz w:val="20"/>
          <w:szCs w:val="20"/>
        </w:rPr>
        <w:t xml:space="preserve"> </w:t>
      </w:r>
      <w:r w:rsidRPr="00D35F39">
        <w:rPr>
          <w:rFonts w:eastAsia="Cambria"/>
          <w:sz w:val="20"/>
          <w:szCs w:val="20"/>
        </w:rPr>
        <w:t>In order to meet the UK’s ambitious target</w:t>
      </w:r>
      <w:r w:rsidR="00DC38EF" w:rsidRPr="00D35F39">
        <w:rPr>
          <w:rFonts w:eastAsia="Cambria"/>
          <w:sz w:val="20"/>
          <w:szCs w:val="20"/>
        </w:rPr>
        <w:t xml:space="preserve"> </w:t>
      </w:r>
      <w:r w:rsidR="0086457B">
        <w:rPr>
          <w:rFonts w:eastAsia="Cambria"/>
          <w:sz w:val="20"/>
          <w:szCs w:val="20"/>
        </w:rPr>
        <w:t>of an</w:t>
      </w:r>
      <w:r w:rsidR="00DC38EF" w:rsidRPr="00D35F39">
        <w:rPr>
          <w:rFonts w:eastAsia="Cambria"/>
          <w:sz w:val="20"/>
          <w:szCs w:val="20"/>
        </w:rPr>
        <w:t xml:space="preserve"> </w:t>
      </w:r>
      <w:r w:rsidRPr="00D35F39">
        <w:rPr>
          <w:rFonts w:eastAsia="Cambria"/>
          <w:sz w:val="20"/>
          <w:szCs w:val="20"/>
        </w:rPr>
        <w:t xml:space="preserve">80% reduction </w:t>
      </w:r>
      <w:r w:rsidR="0086457B">
        <w:rPr>
          <w:rFonts w:eastAsia="Cambria"/>
          <w:sz w:val="20"/>
          <w:szCs w:val="20"/>
        </w:rPr>
        <w:t>in</w:t>
      </w:r>
      <w:r w:rsidR="00DC38EF" w:rsidRPr="00D35F39">
        <w:rPr>
          <w:rFonts w:eastAsia="Cambria"/>
          <w:sz w:val="20"/>
          <w:szCs w:val="20"/>
        </w:rPr>
        <w:t xml:space="preserve"> CO</w:t>
      </w:r>
      <w:r w:rsidR="00DC38EF" w:rsidRPr="00D35F39">
        <w:rPr>
          <w:rFonts w:eastAsia="Cambria"/>
          <w:sz w:val="20"/>
          <w:szCs w:val="20"/>
          <w:vertAlign w:val="subscript"/>
        </w:rPr>
        <w:t>2</w:t>
      </w:r>
      <w:r w:rsidR="00DC38EF" w:rsidRPr="00D35F39">
        <w:rPr>
          <w:rFonts w:eastAsia="Cambria"/>
          <w:sz w:val="20"/>
          <w:szCs w:val="20"/>
        </w:rPr>
        <w:t xml:space="preserve"> emissions from </w:t>
      </w:r>
      <w:r w:rsidRPr="00D35F39">
        <w:rPr>
          <w:rFonts w:eastAsia="Cambria"/>
          <w:sz w:val="20"/>
          <w:szCs w:val="20"/>
        </w:rPr>
        <w:t>1990</w:t>
      </w:r>
      <w:r w:rsidR="00DC38EF" w:rsidRPr="00D35F39">
        <w:rPr>
          <w:rFonts w:eastAsia="Cambria"/>
          <w:sz w:val="20"/>
          <w:szCs w:val="20"/>
        </w:rPr>
        <w:t xml:space="preserve"> levels</w:t>
      </w:r>
      <w:r w:rsidRPr="00D35F39">
        <w:rPr>
          <w:rFonts w:eastAsia="Cambria"/>
          <w:sz w:val="20"/>
          <w:szCs w:val="20"/>
        </w:rPr>
        <w:t xml:space="preserve"> by 2050 (DECC, 2012</w:t>
      </w:r>
      <w:r w:rsidR="00187008" w:rsidRPr="00D35F39">
        <w:rPr>
          <w:rFonts w:eastAsia="Cambria"/>
          <w:sz w:val="20"/>
          <w:szCs w:val="20"/>
        </w:rPr>
        <w:t>a</w:t>
      </w:r>
      <w:r w:rsidRPr="00D35F39">
        <w:rPr>
          <w:rFonts w:eastAsia="Cambria"/>
          <w:sz w:val="20"/>
          <w:szCs w:val="20"/>
        </w:rPr>
        <w:t xml:space="preserve">), </w:t>
      </w:r>
      <w:r w:rsidRPr="00D35F39">
        <w:rPr>
          <w:sz w:val="20"/>
          <w:szCs w:val="20"/>
        </w:rPr>
        <w:t xml:space="preserve">a number </w:t>
      </w:r>
      <w:r w:rsidR="007B1294" w:rsidRPr="00D35F39">
        <w:rPr>
          <w:sz w:val="20"/>
          <w:szCs w:val="20"/>
        </w:rPr>
        <w:t>of</w:t>
      </w:r>
      <w:r w:rsidRPr="00D35F39">
        <w:rPr>
          <w:sz w:val="20"/>
          <w:szCs w:val="20"/>
        </w:rPr>
        <w:t xml:space="preserve"> </w:t>
      </w:r>
      <w:r w:rsidR="00955079" w:rsidRPr="00D35F39">
        <w:rPr>
          <w:sz w:val="20"/>
          <w:szCs w:val="20"/>
        </w:rPr>
        <w:t>programs</w:t>
      </w:r>
      <w:r w:rsidR="00FE6605" w:rsidRPr="00D35F39">
        <w:rPr>
          <w:sz w:val="20"/>
          <w:szCs w:val="20"/>
        </w:rPr>
        <w:t xml:space="preserve"> and policies</w:t>
      </w:r>
      <w:r w:rsidR="00FE6605" w:rsidRPr="00D35F39">
        <w:rPr>
          <w:rFonts w:eastAsia="Cambria"/>
          <w:sz w:val="20"/>
          <w:szCs w:val="20"/>
        </w:rPr>
        <w:t xml:space="preserve"> </w:t>
      </w:r>
      <w:r w:rsidRPr="00D35F39">
        <w:rPr>
          <w:rFonts w:eastAsia="Cambria"/>
          <w:sz w:val="20"/>
          <w:szCs w:val="20"/>
        </w:rPr>
        <w:t xml:space="preserve">are being </w:t>
      </w:r>
      <w:r w:rsidR="004809FB" w:rsidRPr="00D35F39">
        <w:rPr>
          <w:rFonts w:eastAsia="Cambria"/>
          <w:sz w:val="20"/>
          <w:szCs w:val="20"/>
        </w:rPr>
        <w:t>employed</w:t>
      </w:r>
      <w:r w:rsidR="004809FB" w:rsidRPr="00D35F39" w:rsidDel="004809FB">
        <w:rPr>
          <w:rFonts w:eastAsia="Cambria"/>
          <w:sz w:val="20"/>
          <w:szCs w:val="20"/>
        </w:rPr>
        <w:t xml:space="preserve"> </w:t>
      </w:r>
      <w:r w:rsidRPr="00D35F39">
        <w:rPr>
          <w:rFonts w:eastAsia="Cambria"/>
          <w:sz w:val="20"/>
          <w:szCs w:val="20"/>
        </w:rPr>
        <w:t xml:space="preserve">that </w:t>
      </w:r>
      <w:r w:rsidR="00071FE5" w:rsidRPr="00D35F39">
        <w:rPr>
          <w:sz w:val="20"/>
          <w:szCs w:val="20"/>
        </w:rPr>
        <w:t xml:space="preserve">aim to increase dwelling air tightness and </w:t>
      </w:r>
      <w:r w:rsidR="00887A52">
        <w:rPr>
          <w:sz w:val="20"/>
          <w:szCs w:val="20"/>
        </w:rPr>
        <w:t xml:space="preserve">increase </w:t>
      </w:r>
      <w:r w:rsidR="00071FE5" w:rsidRPr="00D35F39">
        <w:rPr>
          <w:sz w:val="20"/>
          <w:szCs w:val="20"/>
        </w:rPr>
        <w:t xml:space="preserve">fabric </w:t>
      </w:r>
      <w:r w:rsidR="006C0FC9">
        <w:rPr>
          <w:sz w:val="20"/>
          <w:szCs w:val="20"/>
        </w:rPr>
        <w:t xml:space="preserve">performance </w:t>
      </w:r>
      <w:r w:rsidR="00071FE5" w:rsidRPr="00D35F39">
        <w:rPr>
          <w:sz w:val="20"/>
          <w:szCs w:val="20"/>
        </w:rPr>
        <w:t>through the provision</w:t>
      </w:r>
      <w:r w:rsidR="00071FE5" w:rsidRPr="00D35F39">
        <w:rPr>
          <w:rFonts w:eastAsia="Cambria"/>
          <w:sz w:val="20"/>
          <w:szCs w:val="20"/>
        </w:rPr>
        <w:t xml:space="preserve"> </w:t>
      </w:r>
      <w:r w:rsidRPr="00D35F39">
        <w:rPr>
          <w:sz w:val="20"/>
          <w:szCs w:val="20"/>
        </w:rPr>
        <w:t xml:space="preserve">of insulation, glazing </w:t>
      </w:r>
      <w:r w:rsidR="00AE691A" w:rsidRPr="00D35F39">
        <w:rPr>
          <w:sz w:val="20"/>
          <w:szCs w:val="20"/>
        </w:rPr>
        <w:t>upgrades</w:t>
      </w:r>
      <w:r w:rsidR="006D6519" w:rsidRPr="00D35F39">
        <w:rPr>
          <w:sz w:val="20"/>
          <w:szCs w:val="20"/>
        </w:rPr>
        <w:t xml:space="preserve"> </w:t>
      </w:r>
      <w:r w:rsidR="00330DB2" w:rsidRPr="00D35F39">
        <w:rPr>
          <w:sz w:val="20"/>
          <w:szCs w:val="20"/>
        </w:rPr>
        <w:t xml:space="preserve">and </w:t>
      </w:r>
      <w:r w:rsidRPr="00D35F39">
        <w:rPr>
          <w:sz w:val="20"/>
          <w:szCs w:val="20"/>
        </w:rPr>
        <w:t xml:space="preserve">improvements </w:t>
      </w:r>
      <w:r w:rsidR="00691201" w:rsidRPr="00D35F39">
        <w:rPr>
          <w:sz w:val="20"/>
          <w:szCs w:val="20"/>
        </w:rPr>
        <w:t xml:space="preserve">in </w:t>
      </w:r>
      <w:r w:rsidRPr="00D35F39">
        <w:rPr>
          <w:sz w:val="20"/>
          <w:szCs w:val="20"/>
        </w:rPr>
        <w:t>heating system</w:t>
      </w:r>
      <w:r w:rsidR="00691201" w:rsidRPr="00D35F39">
        <w:rPr>
          <w:sz w:val="20"/>
          <w:szCs w:val="20"/>
        </w:rPr>
        <w:t xml:space="preserve">s. </w:t>
      </w:r>
      <w:r w:rsidR="00D42CB9" w:rsidRPr="00D35F39">
        <w:rPr>
          <w:sz w:val="20"/>
          <w:szCs w:val="20"/>
        </w:rPr>
        <w:t xml:space="preserve">The </w:t>
      </w:r>
      <w:r w:rsidR="00865469" w:rsidRPr="00D35F39">
        <w:rPr>
          <w:sz w:val="20"/>
          <w:szCs w:val="20"/>
        </w:rPr>
        <w:t xml:space="preserve">UK Government estimates that </w:t>
      </w:r>
      <w:r w:rsidR="00691201" w:rsidRPr="00D35F39">
        <w:rPr>
          <w:sz w:val="20"/>
          <w:szCs w:val="20"/>
        </w:rPr>
        <w:t xml:space="preserve">fabric efficiency measures including cavity, solid wall and loft insulation </w:t>
      </w:r>
      <w:r w:rsidR="00865469" w:rsidRPr="00D35F39">
        <w:rPr>
          <w:sz w:val="20"/>
          <w:szCs w:val="20"/>
        </w:rPr>
        <w:t xml:space="preserve">could result in energy savings of </w:t>
      </w:r>
      <w:r w:rsidR="00691201" w:rsidRPr="00D35F39">
        <w:rPr>
          <w:sz w:val="20"/>
          <w:szCs w:val="20"/>
        </w:rPr>
        <w:t>~</w:t>
      </w:r>
      <w:r w:rsidR="001419A8" w:rsidRPr="00D35F39">
        <w:rPr>
          <w:sz w:val="20"/>
          <w:szCs w:val="20"/>
        </w:rPr>
        <w:t>12</w:t>
      </w:r>
      <w:r w:rsidR="00E83224" w:rsidRPr="00D35F39">
        <w:rPr>
          <w:sz w:val="20"/>
          <w:szCs w:val="20"/>
        </w:rPr>
        <w:t xml:space="preserve"> TWh by 2020</w:t>
      </w:r>
      <w:r w:rsidR="001419A8" w:rsidRPr="00D35F39">
        <w:rPr>
          <w:sz w:val="20"/>
          <w:szCs w:val="20"/>
        </w:rPr>
        <w:t xml:space="preserve"> </w:t>
      </w:r>
      <w:r w:rsidR="00E83224" w:rsidRPr="00D35F39">
        <w:rPr>
          <w:sz w:val="20"/>
          <w:szCs w:val="20"/>
        </w:rPr>
        <w:t>(DECC, 2014)</w:t>
      </w:r>
      <w:r w:rsidR="00330DB2" w:rsidRPr="00D35F39">
        <w:rPr>
          <w:sz w:val="20"/>
          <w:szCs w:val="20"/>
        </w:rPr>
        <w:t>.</w:t>
      </w:r>
      <w:r w:rsidR="0067232E">
        <w:rPr>
          <w:sz w:val="20"/>
          <w:szCs w:val="20"/>
        </w:rPr>
        <w:t xml:space="preserve"> </w:t>
      </w:r>
      <w:r w:rsidR="00C45F77">
        <w:rPr>
          <w:sz w:val="20"/>
          <w:szCs w:val="20"/>
        </w:rPr>
        <w:t>As e</w:t>
      </w:r>
      <w:r w:rsidR="00B2633D" w:rsidRPr="00D35F39">
        <w:rPr>
          <w:sz w:val="20"/>
          <w:szCs w:val="20"/>
        </w:rPr>
        <w:t xml:space="preserve">xisting dwellings </w:t>
      </w:r>
      <w:r w:rsidR="00BB4D7D" w:rsidRPr="00D35F39">
        <w:rPr>
          <w:sz w:val="20"/>
          <w:szCs w:val="20"/>
        </w:rPr>
        <w:t xml:space="preserve">are </w:t>
      </w:r>
      <w:r w:rsidR="00B2633D" w:rsidRPr="00D35F39">
        <w:rPr>
          <w:sz w:val="20"/>
          <w:szCs w:val="20"/>
        </w:rPr>
        <w:t>predicted to represent 70-80% of the 2050 building stock (Palmer &amp; Cooper, 2011)</w:t>
      </w:r>
      <w:r w:rsidR="00887A52">
        <w:rPr>
          <w:sz w:val="20"/>
          <w:szCs w:val="20"/>
        </w:rPr>
        <w:t>,</w:t>
      </w:r>
      <w:r w:rsidR="00BB4D7D" w:rsidRPr="00D35F39">
        <w:rPr>
          <w:sz w:val="20"/>
          <w:szCs w:val="20"/>
        </w:rPr>
        <w:t xml:space="preserve"> </w:t>
      </w:r>
      <w:r w:rsidR="00B2633D" w:rsidRPr="00D35F39">
        <w:rPr>
          <w:sz w:val="20"/>
          <w:szCs w:val="20"/>
        </w:rPr>
        <w:t>much of the energy efficiency gains must be obtained through retrofit</w:t>
      </w:r>
      <w:r w:rsidR="00A5754F">
        <w:rPr>
          <w:sz w:val="20"/>
          <w:szCs w:val="20"/>
        </w:rPr>
        <w:t>ting</w:t>
      </w:r>
      <w:r w:rsidR="00B2633D" w:rsidRPr="00D35F39">
        <w:rPr>
          <w:sz w:val="20"/>
          <w:szCs w:val="20"/>
        </w:rPr>
        <w:t xml:space="preserve"> of </w:t>
      </w:r>
      <w:r w:rsidR="00C00581" w:rsidRPr="00D35F39">
        <w:rPr>
          <w:sz w:val="20"/>
          <w:szCs w:val="20"/>
        </w:rPr>
        <w:t xml:space="preserve">the </w:t>
      </w:r>
      <w:r w:rsidR="00F770A2" w:rsidRPr="00D35F39">
        <w:rPr>
          <w:sz w:val="20"/>
          <w:szCs w:val="20"/>
        </w:rPr>
        <w:t>existing stock</w:t>
      </w:r>
      <w:r w:rsidR="00B2633D" w:rsidRPr="00D35F39">
        <w:rPr>
          <w:sz w:val="20"/>
          <w:szCs w:val="20"/>
        </w:rPr>
        <w:t xml:space="preserve">. </w:t>
      </w:r>
      <w:r w:rsidRPr="00D35F39">
        <w:rPr>
          <w:sz w:val="20"/>
          <w:szCs w:val="20"/>
        </w:rPr>
        <w:t>This require</w:t>
      </w:r>
      <w:r w:rsidR="00C45F77">
        <w:rPr>
          <w:sz w:val="20"/>
          <w:szCs w:val="20"/>
        </w:rPr>
        <w:t>s</w:t>
      </w:r>
      <w:r w:rsidRPr="00D35F39">
        <w:rPr>
          <w:sz w:val="20"/>
          <w:szCs w:val="20"/>
        </w:rPr>
        <w:t xml:space="preserve"> </w:t>
      </w:r>
      <w:r w:rsidR="00BB4D7D" w:rsidRPr="00D35F39">
        <w:rPr>
          <w:rFonts w:eastAsia="Cambria"/>
          <w:sz w:val="20"/>
          <w:szCs w:val="20"/>
        </w:rPr>
        <w:t xml:space="preserve">substantial </w:t>
      </w:r>
      <w:r w:rsidRPr="00D35F39">
        <w:rPr>
          <w:rFonts w:eastAsia="Cambria"/>
          <w:sz w:val="20"/>
          <w:szCs w:val="20"/>
        </w:rPr>
        <w:t>investment</w:t>
      </w:r>
      <w:r w:rsidR="00D437BF">
        <w:rPr>
          <w:rFonts w:eastAsia="Cambria"/>
          <w:sz w:val="20"/>
          <w:szCs w:val="20"/>
        </w:rPr>
        <w:t>,</w:t>
      </w:r>
      <w:r w:rsidRPr="00D35F39">
        <w:rPr>
          <w:rFonts w:eastAsia="Cambria"/>
          <w:sz w:val="20"/>
          <w:szCs w:val="20"/>
        </w:rPr>
        <w:t xml:space="preserve"> as nearly all of the </w:t>
      </w:r>
      <w:r w:rsidR="00B2633D" w:rsidRPr="00D35F39">
        <w:rPr>
          <w:rFonts w:eastAsia="Cambria"/>
          <w:sz w:val="20"/>
          <w:szCs w:val="20"/>
        </w:rPr>
        <w:t>UK</w:t>
      </w:r>
      <w:r w:rsidR="00330DB2" w:rsidRPr="00D35F39">
        <w:rPr>
          <w:rFonts w:eastAsia="Cambria"/>
          <w:sz w:val="20"/>
          <w:szCs w:val="20"/>
        </w:rPr>
        <w:t>’</w:t>
      </w:r>
      <w:r w:rsidR="00B2633D" w:rsidRPr="00D35F39">
        <w:rPr>
          <w:rFonts w:eastAsia="Cambria"/>
          <w:sz w:val="20"/>
          <w:szCs w:val="20"/>
        </w:rPr>
        <w:t xml:space="preserve">s </w:t>
      </w:r>
      <w:r w:rsidRPr="00D35F39">
        <w:rPr>
          <w:rFonts w:eastAsia="Cambria"/>
          <w:sz w:val="20"/>
          <w:szCs w:val="20"/>
        </w:rPr>
        <w:t>26</w:t>
      </w:r>
      <w:r w:rsidR="00774A4B">
        <w:rPr>
          <w:rFonts w:eastAsia="Cambria"/>
          <w:sz w:val="20"/>
          <w:szCs w:val="20"/>
        </w:rPr>
        <w:t>.4</w:t>
      </w:r>
      <w:r w:rsidRPr="00D35F39">
        <w:rPr>
          <w:rFonts w:eastAsia="Cambria"/>
          <w:sz w:val="20"/>
          <w:szCs w:val="20"/>
        </w:rPr>
        <w:t xml:space="preserve"> million dwellings will require an upgrade in energy performance</w:t>
      </w:r>
      <w:r w:rsidR="00A039B5" w:rsidRPr="00D35F39">
        <w:rPr>
          <w:rFonts w:eastAsia="Cambria"/>
          <w:sz w:val="20"/>
          <w:szCs w:val="20"/>
        </w:rPr>
        <w:t xml:space="preserve"> to meet </w:t>
      </w:r>
      <w:r w:rsidR="00981380" w:rsidRPr="00D35F39">
        <w:rPr>
          <w:rFonts w:eastAsia="Cambria"/>
          <w:sz w:val="20"/>
          <w:szCs w:val="20"/>
        </w:rPr>
        <w:t xml:space="preserve">emission reduction </w:t>
      </w:r>
      <w:r w:rsidR="00A039B5" w:rsidRPr="00D35F39">
        <w:rPr>
          <w:rFonts w:eastAsia="Cambria"/>
          <w:sz w:val="20"/>
          <w:szCs w:val="20"/>
        </w:rPr>
        <w:t>targets</w:t>
      </w:r>
      <w:r w:rsidRPr="00D35F39">
        <w:rPr>
          <w:rFonts w:eastAsia="Cambria"/>
          <w:sz w:val="20"/>
          <w:szCs w:val="20"/>
        </w:rPr>
        <w:t xml:space="preserve"> (CCC, 2010; EU, 2011b). </w:t>
      </w:r>
      <w:r w:rsidR="00AA4C81" w:rsidRPr="00AA4C81">
        <w:rPr>
          <w:rFonts w:eastAsia="Cambria"/>
          <w:sz w:val="20"/>
          <w:szCs w:val="20"/>
        </w:rPr>
        <w:t>Interventions applied to reduce ventilation heat loss such as draught stripping and double glazing impact the airtightness of dwellings (Hong et al., 2004). Making dwelling</w:t>
      </w:r>
      <w:r w:rsidR="0080057A">
        <w:rPr>
          <w:rFonts w:eastAsia="Cambria"/>
          <w:sz w:val="20"/>
          <w:szCs w:val="20"/>
        </w:rPr>
        <w:t>s</w:t>
      </w:r>
      <w:r w:rsidR="00AA4C81" w:rsidRPr="00AA4C81">
        <w:rPr>
          <w:rFonts w:eastAsia="Cambria"/>
          <w:sz w:val="20"/>
          <w:szCs w:val="20"/>
        </w:rPr>
        <w:t xml:space="preserve"> more airtight without additional purpose provided ventilation (PPV) increases the risk of exposure to higher concentrations of indoor sources of pollutants such as PM</w:t>
      </w:r>
      <w:r w:rsidR="00AA4C81" w:rsidRPr="00E5130E">
        <w:rPr>
          <w:rFonts w:eastAsia="Cambria"/>
          <w:sz w:val="20"/>
          <w:szCs w:val="20"/>
          <w:vertAlign w:val="subscript"/>
        </w:rPr>
        <w:t>2.5</w:t>
      </w:r>
      <w:r w:rsidR="00AA4C81" w:rsidRPr="00AA4C81">
        <w:rPr>
          <w:rFonts w:eastAsia="Cambria"/>
          <w:sz w:val="20"/>
          <w:szCs w:val="20"/>
        </w:rPr>
        <w:t xml:space="preserve">, </w:t>
      </w:r>
      <w:r w:rsidR="00C31A4F" w:rsidRPr="00AA4C81">
        <w:rPr>
          <w:rFonts w:eastAsia="Cambria"/>
          <w:sz w:val="20"/>
          <w:szCs w:val="20"/>
        </w:rPr>
        <w:t>mould</w:t>
      </w:r>
      <w:r w:rsidR="00AA4C81" w:rsidRPr="00AA4C81">
        <w:rPr>
          <w:rFonts w:eastAsia="Cambria"/>
          <w:sz w:val="20"/>
          <w:szCs w:val="20"/>
        </w:rPr>
        <w:t>, environmental tobacco smoke (ETS) and radon</w:t>
      </w:r>
      <w:r w:rsidR="0080057A">
        <w:rPr>
          <w:rFonts w:eastAsia="Cambria"/>
          <w:sz w:val="20"/>
          <w:szCs w:val="20"/>
        </w:rPr>
        <w:t xml:space="preserve">, </w:t>
      </w:r>
      <w:r w:rsidR="00AA4C81" w:rsidRPr="00AA4C81">
        <w:rPr>
          <w:rFonts w:eastAsia="Cambria"/>
          <w:sz w:val="20"/>
          <w:szCs w:val="20"/>
        </w:rPr>
        <w:t>whilst reducing ingress of externally sourced contaminants</w:t>
      </w:r>
      <w:r w:rsidR="00C83F83">
        <w:rPr>
          <w:rFonts w:eastAsia="Cambria"/>
          <w:sz w:val="20"/>
          <w:szCs w:val="20"/>
        </w:rPr>
        <w:t xml:space="preserve"> and increasing indoor winter temperatures</w:t>
      </w:r>
      <w:r w:rsidR="00AA4C81" w:rsidRPr="00AA4C81">
        <w:rPr>
          <w:rFonts w:eastAsia="Cambria"/>
          <w:sz w:val="20"/>
          <w:szCs w:val="20"/>
        </w:rPr>
        <w:t xml:space="preserve"> (Bone et al., 2010</w:t>
      </w:r>
      <w:r w:rsidR="009C2744">
        <w:rPr>
          <w:rFonts w:eastAsia="Cambria"/>
          <w:sz w:val="20"/>
          <w:szCs w:val="20"/>
        </w:rPr>
        <w:t>;</w:t>
      </w:r>
      <w:r w:rsidR="00AA4C81" w:rsidRPr="00AA4C81">
        <w:rPr>
          <w:rFonts w:eastAsia="Cambria"/>
          <w:sz w:val="20"/>
          <w:szCs w:val="20"/>
        </w:rPr>
        <w:t xml:space="preserve"> Milner et al., 2014</w:t>
      </w:r>
      <w:r w:rsidR="00C83F83" w:rsidRPr="00AA4C81">
        <w:rPr>
          <w:rFonts w:eastAsia="Cambria"/>
          <w:sz w:val="20"/>
          <w:szCs w:val="20"/>
        </w:rPr>
        <w:t>).</w:t>
      </w:r>
      <w:r w:rsidR="00C83F83" w:rsidRPr="00C83F83">
        <w:rPr>
          <w:rFonts w:eastAsia="Cambria"/>
          <w:sz w:val="20"/>
          <w:szCs w:val="20"/>
        </w:rPr>
        <w:t xml:space="preserve"> </w:t>
      </w:r>
      <w:r w:rsidR="00C83F83">
        <w:rPr>
          <w:rFonts w:eastAsia="Cambria"/>
          <w:sz w:val="20"/>
          <w:szCs w:val="20"/>
        </w:rPr>
        <w:t>However</w:t>
      </w:r>
      <w:r w:rsidR="00AA4C81" w:rsidRPr="00AA4C81">
        <w:rPr>
          <w:rFonts w:eastAsia="Cambria"/>
          <w:sz w:val="20"/>
          <w:szCs w:val="20"/>
        </w:rPr>
        <w:t xml:space="preserve">, increasing PPV to improve </w:t>
      </w:r>
      <w:r w:rsidR="00024301">
        <w:rPr>
          <w:rFonts w:eastAsia="Cambria"/>
          <w:sz w:val="20"/>
          <w:szCs w:val="20"/>
        </w:rPr>
        <w:t>indoor air quality(</w:t>
      </w:r>
      <w:r w:rsidR="00AA4C81" w:rsidRPr="00AA4C81">
        <w:rPr>
          <w:rFonts w:eastAsia="Cambria"/>
          <w:sz w:val="20"/>
          <w:szCs w:val="20"/>
        </w:rPr>
        <w:t>IAQ</w:t>
      </w:r>
      <w:r w:rsidR="00024301">
        <w:rPr>
          <w:rFonts w:eastAsia="Cambria"/>
          <w:sz w:val="20"/>
          <w:szCs w:val="20"/>
        </w:rPr>
        <w:t>)</w:t>
      </w:r>
      <w:r w:rsidR="00AA4C81" w:rsidRPr="00AA4C81">
        <w:rPr>
          <w:rFonts w:eastAsia="Cambria"/>
          <w:sz w:val="20"/>
          <w:szCs w:val="20"/>
        </w:rPr>
        <w:t xml:space="preserve"> may result in a reduction in energy efficiency gains through ventilation heat loss (Godish. &amp; Spengler, 2004), which on average in the UK is estimated to account for 12% of a dwellings total energy use (Hamilton et al., 2009). The trade-off between these different policy objectives (energy conservation and ventilation for health) has been previously noted (Crump et al., 2011). </w:t>
      </w:r>
      <w:r w:rsidR="00AA4C81" w:rsidRPr="00D35F39">
        <w:rPr>
          <w:rFonts w:eastAsia="Cambria"/>
          <w:sz w:val="20"/>
          <w:szCs w:val="20"/>
        </w:rPr>
        <w:t xml:space="preserve">With the UK population spending </w:t>
      </w:r>
      <w:r w:rsidR="00AA4C81">
        <w:rPr>
          <w:rFonts w:eastAsia="Cambria"/>
          <w:sz w:val="20"/>
          <w:szCs w:val="20"/>
        </w:rPr>
        <w:t>on average</w:t>
      </w:r>
      <w:r w:rsidR="00AA4C81" w:rsidRPr="00D35F39">
        <w:rPr>
          <w:rFonts w:eastAsia="Cambria"/>
          <w:sz w:val="20"/>
          <w:szCs w:val="20"/>
        </w:rPr>
        <w:t xml:space="preserve"> around 80% of their time indoors, and around </w:t>
      </w:r>
      <w:r w:rsidR="00AA4C81">
        <w:rPr>
          <w:rFonts w:eastAsia="Cambria"/>
          <w:sz w:val="20"/>
          <w:szCs w:val="20"/>
        </w:rPr>
        <w:t>50</w:t>
      </w:r>
      <w:r w:rsidR="00AA4C81" w:rsidRPr="00D35F39">
        <w:rPr>
          <w:rFonts w:eastAsia="Cambria"/>
          <w:sz w:val="20"/>
          <w:szCs w:val="20"/>
        </w:rPr>
        <w:t>% of their time in their homes (Kornartit et al., 2010)</w:t>
      </w:r>
      <w:r w:rsidR="00C83F83">
        <w:rPr>
          <w:rFonts w:eastAsia="Cambria"/>
          <w:sz w:val="20"/>
          <w:szCs w:val="20"/>
        </w:rPr>
        <w:t>, building are important modifiers of population health</w:t>
      </w:r>
      <w:r w:rsidR="00E63721" w:rsidRPr="00D35F39">
        <w:rPr>
          <w:rFonts w:eastAsia="Cambria"/>
          <w:sz w:val="20"/>
          <w:szCs w:val="20"/>
        </w:rPr>
        <w:t xml:space="preserve"> </w:t>
      </w:r>
      <w:r w:rsidRPr="00D35F39">
        <w:rPr>
          <w:rFonts w:eastAsia="Cambria"/>
          <w:sz w:val="20"/>
          <w:szCs w:val="20"/>
        </w:rPr>
        <w:t>(Thompson et al., 2013).</w:t>
      </w:r>
      <w:r w:rsidR="00E12874" w:rsidRPr="00D35F39">
        <w:rPr>
          <w:rFonts w:eastAsia="Cambria"/>
          <w:sz w:val="20"/>
          <w:szCs w:val="20"/>
        </w:rPr>
        <w:t xml:space="preserve"> </w:t>
      </w:r>
      <w:r w:rsidR="00981380" w:rsidRPr="00D35F39">
        <w:rPr>
          <w:rFonts w:eastAsia="Cambria"/>
          <w:sz w:val="20"/>
          <w:szCs w:val="20"/>
        </w:rPr>
        <w:t xml:space="preserve">Recent </w:t>
      </w:r>
      <w:r w:rsidR="00B33878" w:rsidRPr="00D35F39">
        <w:rPr>
          <w:rFonts w:eastAsia="Cambria"/>
          <w:sz w:val="20"/>
          <w:szCs w:val="20"/>
        </w:rPr>
        <w:t xml:space="preserve">UK based </w:t>
      </w:r>
      <w:r w:rsidR="00227931">
        <w:rPr>
          <w:rFonts w:eastAsia="Cambria"/>
          <w:sz w:val="20"/>
          <w:szCs w:val="20"/>
        </w:rPr>
        <w:t>monitoring</w:t>
      </w:r>
      <w:r w:rsidR="00227931" w:rsidRPr="00D35F39">
        <w:rPr>
          <w:rFonts w:eastAsia="Cambria"/>
          <w:sz w:val="20"/>
          <w:szCs w:val="20"/>
        </w:rPr>
        <w:t xml:space="preserve"> </w:t>
      </w:r>
      <w:r w:rsidR="00981380" w:rsidRPr="00D35F39">
        <w:rPr>
          <w:rFonts w:eastAsia="Cambria"/>
          <w:sz w:val="20"/>
          <w:szCs w:val="20"/>
        </w:rPr>
        <w:t xml:space="preserve">has shown that </w:t>
      </w:r>
      <w:r w:rsidR="00531AD1" w:rsidRPr="00D35F39">
        <w:rPr>
          <w:rFonts w:eastAsia="Cambria"/>
          <w:sz w:val="20"/>
          <w:szCs w:val="20"/>
        </w:rPr>
        <w:t>ho</w:t>
      </w:r>
      <w:r w:rsidR="001C0245">
        <w:rPr>
          <w:rFonts w:eastAsia="Cambria"/>
          <w:sz w:val="20"/>
          <w:szCs w:val="20"/>
        </w:rPr>
        <w:t>mes</w:t>
      </w:r>
      <w:r w:rsidR="00531AD1" w:rsidRPr="00D35F39">
        <w:rPr>
          <w:rFonts w:eastAsia="Cambria"/>
          <w:sz w:val="20"/>
          <w:szCs w:val="20"/>
        </w:rPr>
        <w:t xml:space="preserve"> with higher energy performance levels are associated with </w:t>
      </w:r>
      <w:r w:rsidR="005F3369">
        <w:rPr>
          <w:rFonts w:eastAsia="Cambria"/>
          <w:sz w:val="20"/>
          <w:szCs w:val="20"/>
        </w:rPr>
        <w:t xml:space="preserve">a </w:t>
      </w:r>
      <w:r w:rsidR="00152598" w:rsidRPr="00D35F39">
        <w:rPr>
          <w:rFonts w:eastAsia="Cambria"/>
          <w:sz w:val="20"/>
          <w:szCs w:val="20"/>
        </w:rPr>
        <w:t>h</w:t>
      </w:r>
      <w:r w:rsidR="00275A83" w:rsidRPr="00D35F39">
        <w:rPr>
          <w:rFonts w:eastAsia="Cambria"/>
          <w:sz w:val="20"/>
          <w:szCs w:val="20"/>
        </w:rPr>
        <w:t>igher risk of diagnosed asthma (Sharpe</w:t>
      </w:r>
      <w:r w:rsidR="000808CA">
        <w:rPr>
          <w:rFonts w:eastAsia="Cambria"/>
          <w:sz w:val="20"/>
          <w:szCs w:val="20"/>
        </w:rPr>
        <w:t xml:space="preserve"> &amp; Shearer</w:t>
      </w:r>
      <w:r w:rsidR="00275A83" w:rsidRPr="00D35F39">
        <w:rPr>
          <w:rFonts w:eastAsia="Cambria"/>
          <w:sz w:val="20"/>
          <w:szCs w:val="20"/>
        </w:rPr>
        <w:t xml:space="preserve">, 2014), </w:t>
      </w:r>
      <w:r w:rsidR="00B33878" w:rsidRPr="00D35F39">
        <w:rPr>
          <w:rFonts w:eastAsia="Cambria"/>
          <w:sz w:val="20"/>
          <w:szCs w:val="20"/>
        </w:rPr>
        <w:t>suggesting</w:t>
      </w:r>
      <w:r w:rsidR="00275A83" w:rsidRPr="00D35F39">
        <w:rPr>
          <w:rFonts w:eastAsia="Cambria"/>
          <w:sz w:val="20"/>
          <w:szCs w:val="20"/>
        </w:rPr>
        <w:t xml:space="preserve"> that retrofits as currently implemented </w:t>
      </w:r>
      <w:r w:rsidR="0086457B">
        <w:rPr>
          <w:rFonts w:eastAsia="Cambria"/>
          <w:sz w:val="20"/>
          <w:szCs w:val="20"/>
        </w:rPr>
        <w:t>can</w:t>
      </w:r>
      <w:r w:rsidR="0086457B" w:rsidRPr="00D35F39">
        <w:rPr>
          <w:rFonts w:eastAsia="Cambria"/>
          <w:sz w:val="20"/>
          <w:szCs w:val="20"/>
        </w:rPr>
        <w:t xml:space="preserve"> </w:t>
      </w:r>
      <w:r w:rsidR="00C67FC4" w:rsidRPr="00D35F39">
        <w:rPr>
          <w:rFonts w:eastAsia="Cambria"/>
          <w:sz w:val="20"/>
          <w:szCs w:val="20"/>
        </w:rPr>
        <w:t xml:space="preserve">have negative effects on household health. </w:t>
      </w:r>
      <w:r w:rsidR="00C75B65" w:rsidRPr="00D35F39">
        <w:rPr>
          <w:rFonts w:eastAsia="Cambria"/>
          <w:sz w:val="20"/>
          <w:szCs w:val="20"/>
        </w:rPr>
        <w:t xml:space="preserve">In addition, poorly designed interventions could lead to a range of unintended consequences across multiple </w:t>
      </w:r>
      <w:r w:rsidR="00225512" w:rsidRPr="00D35F39">
        <w:rPr>
          <w:rFonts w:eastAsia="Cambria"/>
          <w:sz w:val="20"/>
          <w:szCs w:val="20"/>
        </w:rPr>
        <w:t>domains</w:t>
      </w:r>
      <w:r w:rsidR="00C75B65" w:rsidRPr="00D35F39">
        <w:rPr>
          <w:rFonts w:eastAsia="Cambria"/>
          <w:sz w:val="20"/>
          <w:szCs w:val="20"/>
        </w:rPr>
        <w:t xml:space="preserve"> </w:t>
      </w:r>
      <w:r w:rsidR="00555CD6" w:rsidRPr="00D35F39">
        <w:rPr>
          <w:rFonts w:eastAsia="Cambria"/>
          <w:sz w:val="20"/>
          <w:szCs w:val="20"/>
        </w:rPr>
        <w:t>(</w:t>
      </w:r>
      <w:r w:rsidR="00C75B65" w:rsidRPr="00D35F39">
        <w:rPr>
          <w:rFonts w:eastAsia="Cambria"/>
          <w:sz w:val="20"/>
          <w:szCs w:val="20"/>
        </w:rPr>
        <w:t xml:space="preserve">Shrubsole et al., 2014). </w:t>
      </w:r>
      <w:r w:rsidR="00C67FC4" w:rsidRPr="00D35F39">
        <w:rPr>
          <w:rFonts w:eastAsia="Cambria"/>
          <w:sz w:val="20"/>
          <w:szCs w:val="20"/>
        </w:rPr>
        <w:t>Yet</w:t>
      </w:r>
      <w:r w:rsidR="00C75B65" w:rsidRPr="00D35F39">
        <w:rPr>
          <w:rFonts w:eastAsia="Cambria"/>
          <w:sz w:val="20"/>
          <w:szCs w:val="20"/>
        </w:rPr>
        <w:t>,</w:t>
      </w:r>
      <w:r w:rsidR="00C67FC4" w:rsidRPr="00D35F39">
        <w:rPr>
          <w:rFonts w:eastAsia="Cambria"/>
          <w:sz w:val="20"/>
          <w:szCs w:val="20"/>
        </w:rPr>
        <w:t xml:space="preserve"> if</w:t>
      </w:r>
      <w:r w:rsidR="00E12874" w:rsidRPr="00D35F39">
        <w:rPr>
          <w:rFonts w:eastAsia="Cambria"/>
          <w:sz w:val="20"/>
          <w:szCs w:val="20"/>
        </w:rPr>
        <w:t xml:space="preserve"> measures are properly designed</w:t>
      </w:r>
      <w:r w:rsidR="00E63721" w:rsidRPr="00D35F39">
        <w:rPr>
          <w:rFonts w:eastAsia="Cambria"/>
          <w:sz w:val="20"/>
          <w:szCs w:val="20"/>
        </w:rPr>
        <w:t xml:space="preserve">, </w:t>
      </w:r>
      <w:r w:rsidR="00E12874" w:rsidRPr="00D35F39">
        <w:rPr>
          <w:rFonts w:eastAsia="Cambria"/>
          <w:sz w:val="20"/>
          <w:szCs w:val="20"/>
        </w:rPr>
        <w:t>applied</w:t>
      </w:r>
      <w:r w:rsidR="00A039B5" w:rsidRPr="00D35F39">
        <w:rPr>
          <w:rFonts w:eastAsia="Cambria"/>
          <w:sz w:val="20"/>
          <w:szCs w:val="20"/>
        </w:rPr>
        <w:t xml:space="preserve"> and </w:t>
      </w:r>
      <w:r w:rsidR="00467F1B" w:rsidRPr="00D35F39">
        <w:rPr>
          <w:rFonts w:eastAsia="Cambria"/>
          <w:sz w:val="20"/>
          <w:szCs w:val="20"/>
        </w:rPr>
        <w:t>operated</w:t>
      </w:r>
      <w:r w:rsidR="00E12874" w:rsidRPr="00D35F39">
        <w:rPr>
          <w:rFonts w:eastAsia="Cambria"/>
          <w:sz w:val="20"/>
          <w:szCs w:val="20"/>
        </w:rPr>
        <w:t xml:space="preserve">, </w:t>
      </w:r>
      <w:r w:rsidR="00015471">
        <w:rPr>
          <w:rFonts w:eastAsia="Cambria"/>
          <w:sz w:val="20"/>
          <w:szCs w:val="20"/>
        </w:rPr>
        <w:t xml:space="preserve">it is probable that </w:t>
      </w:r>
      <w:r w:rsidR="00E12874" w:rsidRPr="00D35F39">
        <w:rPr>
          <w:rFonts w:eastAsia="Cambria"/>
          <w:sz w:val="20"/>
          <w:szCs w:val="20"/>
        </w:rPr>
        <w:t xml:space="preserve">they could have major </w:t>
      </w:r>
      <w:r w:rsidR="00015471">
        <w:rPr>
          <w:rFonts w:eastAsia="Cambria"/>
          <w:sz w:val="20"/>
          <w:szCs w:val="20"/>
        </w:rPr>
        <w:t xml:space="preserve">net </w:t>
      </w:r>
      <w:r w:rsidR="00E12874" w:rsidRPr="00D35F39">
        <w:rPr>
          <w:rFonts w:eastAsia="Cambria"/>
          <w:sz w:val="20"/>
          <w:szCs w:val="20"/>
        </w:rPr>
        <w:t>benefits for public health (Wilkinson et al., 2009)</w:t>
      </w:r>
      <w:r w:rsidR="00A039B5" w:rsidRPr="00D35F39">
        <w:rPr>
          <w:rFonts w:eastAsia="Cambria"/>
          <w:sz w:val="20"/>
          <w:szCs w:val="20"/>
        </w:rPr>
        <w:t>.</w:t>
      </w:r>
      <w:r w:rsidR="00E12874" w:rsidRPr="00D35F39">
        <w:rPr>
          <w:rFonts w:eastAsia="Cambria"/>
          <w:sz w:val="20"/>
          <w:szCs w:val="20"/>
        </w:rPr>
        <w:t xml:space="preserve"> </w:t>
      </w:r>
    </w:p>
    <w:p w14:paraId="33FB8324" w14:textId="0ECEACCA" w:rsidR="003928C5" w:rsidRPr="00D35F39" w:rsidRDefault="00692C92" w:rsidP="003928C5">
      <w:pPr>
        <w:spacing w:line="480" w:lineRule="auto"/>
        <w:divId w:val="434059591"/>
        <w:rPr>
          <w:rFonts w:eastAsia="Cambria"/>
          <w:sz w:val="20"/>
          <w:szCs w:val="20"/>
        </w:rPr>
      </w:pPr>
      <w:r w:rsidRPr="00D35F39">
        <w:rPr>
          <w:rFonts w:eastAsia="Cambria"/>
          <w:bCs/>
          <w:sz w:val="20"/>
          <w:szCs w:val="20"/>
        </w:rPr>
        <w:lastRenderedPageBreak/>
        <w:t xml:space="preserve">National targets for </w:t>
      </w:r>
      <w:r w:rsidR="00041397" w:rsidRPr="00D35F39">
        <w:rPr>
          <w:rFonts w:eastAsia="Cambria"/>
          <w:bCs/>
          <w:sz w:val="20"/>
          <w:szCs w:val="20"/>
        </w:rPr>
        <w:t>CO</w:t>
      </w:r>
      <w:r w:rsidR="00041397" w:rsidRPr="00D35F39">
        <w:rPr>
          <w:rFonts w:eastAsia="Cambria"/>
          <w:bCs/>
          <w:sz w:val="20"/>
          <w:szCs w:val="20"/>
          <w:vertAlign w:val="subscript"/>
        </w:rPr>
        <w:t xml:space="preserve">2 </w:t>
      </w:r>
      <w:r w:rsidRPr="00D35F39">
        <w:rPr>
          <w:rFonts w:eastAsia="Cambria"/>
          <w:bCs/>
          <w:sz w:val="20"/>
          <w:szCs w:val="20"/>
        </w:rPr>
        <w:t xml:space="preserve">emissions reduction </w:t>
      </w:r>
      <w:r w:rsidR="00E63721" w:rsidRPr="00D35F39">
        <w:rPr>
          <w:rFonts w:eastAsia="Cambria"/>
          <w:bCs/>
          <w:sz w:val="20"/>
          <w:szCs w:val="20"/>
        </w:rPr>
        <w:t xml:space="preserve">in </w:t>
      </w:r>
      <w:r w:rsidRPr="00D35F39">
        <w:rPr>
          <w:rFonts w:eastAsia="Cambria"/>
          <w:bCs/>
          <w:sz w:val="20"/>
          <w:szCs w:val="20"/>
        </w:rPr>
        <w:t>the UK</w:t>
      </w:r>
      <w:r w:rsidR="00EB7E6C" w:rsidRPr="00D35F39">
        <w:rPr>
          <w:rFonts w:eastAsia="Cambria"/>
          <w:bCs/>
          <w:sz w:val="20"/>
          <w:szCs w:val="20"/>
        </w:rPr>
        <w:t xml:space="preserve">, </w:t>
      </w:r>
      <w:r w:rsidR="007504D4">
        <w:rPr>
          <w:rFonts w:eastAsia="Cambria"/>
          <w:bCs/>
          <w:sz w:val="20"/>
          <w:szCs w:val="20"/>
        </w:rPr>
        <w:t xml:space="preserve"> one of the main drivers</w:t>
      </w:r>
      <w:r w:rsidR="00EB7E6C" w:rsidRPr="00D35F39">
        <w:rPr>
          <w:rFonts w:eastAsia="Cambria"/>
          <w:bCs/>
          <w:sz w:val="20"/>
          <w:szCs w:val="20"/>
        </w:rPr>
        <w:t xml:space="preserve"> of change</w:t>
      </w:r>
      <w:r w:rsidR="007F1D6C" w:rsidRPr="00D35F39">
        <w:rPr>
          <w:rFonts w:eastAsia="Cambria"/>
          <w:bCs/>
          <w:sz w:val="20"/>
          <w:szCs w:val="20"/>
        </w:rPr>
        <w:t>s</w:t>
      </w:r>
      <w:r w:rsidR="00EB7E6C" w:rsidRPr="00D35F39">
        <w:rPr>
          <w:rFonts w:eastAsia="Cambria"/>
          <w:bCs/>
          <w:sz w:val="20"/>
          <w:szCs w:val="20"/>
        </w:rPr>
        <w:t xml:space="preserve"> in </w:t>
      </w:r>
      <w:r w:rsidR="00F770A2" w:rsidRPr="00D35F39">
        <w:rPr>
          <w:rFonts w:eastAsia="Cambria"/>
          <w:bCs/>
          <w:sz w:val="20"/>
          <w:szCs w:val="20"/>
        </w:rPr>
        <w:t>energy performance</w:t>
      </w:r>
      <w:r w:rsidR="007504D4">
        <w:rPr>
          <w:rFonts w:eastAsia="Cambria"/>
          <w:bCs/>
          <w:sz w:val="20"/>
          <w:szCs w:val="20"/>
        </w:rPr>
        <w:t xml:space="preserve"> in dwellings (Rosenow, 2012)</w:t>
      </w:r>
      <w:r w:rsidR="00EB7E6C" w:rsidRPr="00D35F39">
        <w:rPr>
          <w:rFonts w:eastAsia="Cambria"/>
          <w:bCs/>
          <w:sz w:val="20"/>
          <w:szCs w:val="20"/>
        </w:rPr>
        <w:t xml:space="preserve">, </w:t>
      </w:r>
      <w:r w:rsidRPr="00D35F39">
        <w:rPr>
          <w:rFonts w:eastAsia="Cambria"/>
          <w:bCs/>
          <w:sz w:val="20"/>
          <w:szCs w:val="20"/>
        </w:rPr>
        <w:t>are set out in the Climate Change Act of 2008</w:t>
      </w:r>
      <w:r w:rsidR="00B14EFC" w:rsidRPr="00D35F39">
        <w:rPr>
          <w:rFonts w:eastAsia="Cambria"/>
          <w:bCs/>
          <w:sz w:val="20"/>
          <w:szCs w:val="20"/>
        </w:rPr>
        <w:t xml:space="preserve"> (</w:t>
      </w:r>
      <w:r w:rsidR="0063329F" w:rsidRPr="00D35F39">
        <w:rPr>
          <w:sz w:val="20"/>
          <w:szCs w:val="20"/>
        </w:rPr>
        <w:t xml:space="preserve">HM </w:t>
      </w:r>
      <w:r w:rsidR="005B4F28" w:rsidRPr="00D35F39">
        <w:rPr>
          <w:sz w:val="20"/>
          <w:szCs w:val="20"/>
        </w:rPr>
        <w:t>Government</w:t>
      </w:r>
      <w:r w:rsidR="005B4F28" w:rsidRPr="00D35F39">
        <w:rPr>
          <w:rFonts w:eastAsia="Cambria"/>
          <w:bCs/>
          <w:sz w:val="20"/>
          <w:szCs w:val="20"/>
        </w:rPr>
        <w:t>,</w:t>
      </w:r>
      <w:r w:rsidR="003C5097" w:rsidRPr="00D35F39">
        <w:rPr>
          <w:rFonts w:eastAsia="Cambria"/>
          <w:bCs/>
          <w:sz w:val="20"/>
          <w:szCs w:val="20"/>
        </w:rPr>
        <w:t xml:space="preserve"> </w:t>
      </w:r>
      <w:r w:rsidR="00B14EFC" w:rsidRPr="00D35F39">
        <w:rPr>
          <w:rFonts w:eastAsia="Cambria"/>
          <w:bCs/>
          <w:sz w:val="20"/>
          <w:szCs w:val="20"/>
        </w:rPr>
        <w:t>2008)</w:t>
      </w:r>
      <w:r w:rsidRPr="00D35F39">
        <w:rPr>
          <w:rFonts w:eastAsia="Cambria"/>
          <w:bCs/>
          <w:sz w:val="20"/>
          <w:szCs w:val="20"/>
        </w:rPr>
        <w:t xml:space="preserve">. </w:t>
      </w:r>
      <w:r w:rsidR="001B03F2" w:rsidRPr="00D35F39">
        <w:rPr>
          <w:rFonts w:eastAsia="Cambria"/>
          <w:bCs/>
          <w:sz w:val="20"/>
          <w:szCs w:val="20"/>
        </w:rPr>
        <w:t>Individual</w:t>
      </w:r>
      <w:r w:rsidR="00585E60" w:rsidRPr="00D35F39">
        <w:rPr>
          <w:rFonts w:eastAsia="Cambria"/>
          <w:bCs/>
          <w:sz w:val="20"/>
          <w:szCs w:val="20"/>
        </w:rPr>
        <w:t xml:space="preserve"> sectors </w:t>
      </w:r>
      <w:r w:rsidR="00427EB4" w:rsidRPr="00D35F39">
        <w:rPr>
          <w:rFonts w:eastAsia="Cambria"/>
          <w:bCs/>
          <w:sz w:val="20"/>
          <w:szCs w:val="20"/>
        </w:rPr>
        <w:t>such as</w:t>
      </w:r>
      <w:r w:rsidR="00585E60" w:rsidRPr="00D35F39">
        <w:rPr>
          <w:rFonts w:eastAsia="Cambria"/>
          <w:bCs/>
          <w:sz w:val="20"/>
          <w:szCs w:val="20"/>
        </w:rPr>
        <w:t xml:space="preserve"> housing</w:t>
      </w:r>
      <w:r w:rsidR="00AA01A1">
        <w:rPr>
          <w:rFonts w:eastAsia="Cambria"/>
          <w:bCs/>
          <w:sz w:val="20"/>
          <w:szCs w:val="20"/>
        </w:rPr>
        <w:t>,</w:t>
      </w:r>
      <w:r w:rsidR="00585E60" w:rsidRPr="00D35F39">
        <w:rPr>
          <w:rFonts w:eastAsia="Cambria"/>
          <w:bCs/>
          <w:sz w:val="20"/>
          <w:szCs w:val="20"/>
        </w:rPr>
        <w:t xml:space="preserve"> have </w:t>
      </w:r>
      <w:r w:rsidR="00DB2CAF" w:rsidRPr="00D35F39">
        <w:rPr>
          <w:rFonts w:eastAsia="Cambria"/>
          <w:bCs/>
          <w:sz w:val="20"/>
          <w:szCs w:val="20"/>
        </w:rPr>
        <w:t xml:space="preserve">contributory </w:t>
      </w:r>
      <w:r w:rsidR="00585E60" w:rsidRPr="00D35F39">
        <w:rPr>
          <w:rFonts w:eastAsia="Cambria"/>
          <w:bCs/>
          <w:sz w:val="20"/>
          <w:szCs w:val="20"/>
        </w:rPr>
        <w:t xml:space="preserve">targets </w:t>
      </w:r>
      <w:r w:rsidR="00007474" w:rsidRPr="00D35F39">
        <w:rPr>
          <w:rFonts w:eastAsia="Cambria"/>
          <w:bCs/>
          <w:sz w:val="20"/>
          <w:szCs w:val="20"/>
        </w:rPr>
        <w:t xml:space="preserve">(CCC, 2012). </w:t>
      </w:r>
      <w:r w:rsidR="005C2E30" w:rsidRPr="00D35F39">
        <w:rPr>
          <w:rFonts w:eastAsia="Cambria"/>
          <w:bCs/>
          <w:sz w:val="20"/>
          <w:szCs w:val="20"/>
        </w:rPr>
        <w:t>Total e</w:t>
      </w:r>
      <w:r w:rsidR="00007474" w:rsidRPr="00D35F39">
        <w:rPr>
          <w:rFonts w:eastAsia="Cambria"/>
          <w:bCs/>
          <w:sz w:val="20"/>
          <w:szCs w:val="20"/>
        </w:rPr>
        <w:t xml:space="preserve">mission reductions from the housing stock will </w:t>
      </w:r>
      <w:r w:rsidR="00980001" w:rsidRPr="00D35F39">
        <w:rPr>
          <w:rFonts w:eastAsia="Cambria"/>
          <w:bCs/>
          <w:sz w:val="20"/>
          <w:szCs w:val="20"/>
        </w:rPr>
        <w:t xml:space="preserve">occur through energy efficiency </w:t>
      </w:r>
      <w:r w:rsidR="005C2E30" w:rsidRPr="00D35F39">
        <w:rPr>
          <w:rFonts w:eastAsia="Cambria"/>
          <w:bCs/>
          <w:sz w:val="20"/>
          <w:szCs w:val="20"/>
        </w:rPr>
        <w:t xml:space="preserve">interventions </w:t>
      </w:r>
      <w:r w:rsidR="00980001" w:rsidRPr="00D35F39">
        <w:rPr>
          <w:rFonts w:eastAsia="Cambria"/>
          <w:bCs/>
          <w:sz w:val="20"/>
          <w:szCs w:val="20"/>
        </w:rPr>
        <w:t xml:space="preserve">and </w:t>
      </w:r>
      <w:r w:rsidR="00DB2CAF" w:rsidRPr="00D35F39">
        <w:rPr>
          <w:rFonts w:eastAsia="Cambria"/>
          <w:bCs/>
          <w:sz w:val="20"/>
          <w:szCs w:val="20"/>
        </w:rPr>
        <w:t xml:space="preserve">by </w:t>
      </w:r>
      <w:r w:rsidR="00980001" w:rsidRPr="00D35F39">
        <w:rPr>
          <w:rFonts w:eastAsia="Cambria"/>
          <w:bCs/>
          <w:sz w:val="20"/>
          <w:szCs w:val="20"/>
        </w:rPr>
        <w:t>decarboni</w:t>
      </w:r>
      <w:r w:rsidR="00015471">
        <w:rPr>
          <w:rFonts w:eastAsia="Cambria"/>
          <w:bCs/>
          <w:sz w:val="20"/>
          <w:szCs w:val="20"/>
        </w:rPr>
        <w:t>z</w:t>
      </w:r>
      <w:r w:rsidR="00980001" w:rsidRPr="00D35F39">
        <w:rPr>
          <w:rFonts w:eastAsia="Cambria"/>
          <w:bCs/>
          <w:sz w:val="20"/>
          <w:szCs w:val="20"/>
        </w:rPr>
        <w:t xml:space="preserve">ing the </w:t>
      </w:r>
      <w:r w:rsidR="00DB2CAF" w:rsidRPr="00D35F39">
        <w:rPr>
          <w:rFonts w:eastAsia="Cambria"/>
          <w:bCs/>
          <w:sz w:val="20"/>
          <w:szCs w:val="20"/>
        </w:rPr>
        <w:t xml:space="preserve">dwelling </w:t>
      </w:r>
      <w:r w:rsidR="00980001" w:rsidRPr="00D35F39">
        <w:rPr>
          <w:rFonts w:eastAsia="Cambria"/>
          <w:bCs/>
          <w:sz w:val="20"/>
          <w:szCs w:val="20"/>
        </w:rPr>
        <w:t>energy supply. T</w:t>
      </w:r>
      <w:r w:rsidR="00CD0FC3" w:rsidRPr="00D35F39">
        <w:rPr>
          <w:rFonts w:eastAsia="Cambria"/>
          <w:sz w:val="20"/>
          <w:szCs w:val="20"/>
        </w:rPr>
        <w:t xml:space="preserve">he carbon intensity (CI) of the supply grid </w:t>
      </w:r>
      <w:r w:rsidR="005C2E30" w:rsidRPr="00D35F39">
        <w:rPr>
          <w:rFonts w:eastAsia="Cambria"/>
          <w:sz w:val="20"/>
          <w:szCs w:val="20"/>
        </w:rPr>
        <w:t xml:space="preserve">will </w:t>
      </w:r>
      <w:r w:rsidR="00980001" w:rsidRPr="00D35F39">
        <w:rPr>
          <w:rFonts w:eastAsia="Cambria"/>
          <w:sz w:val="20"/>
          <w:szCs w:val="20"/>
        </w:rPr>
        <w:t>influence</w:t>
      </w:r>
      <w:r w:rsidR="00F620FB" w:rsidRPr="00D35F39">
        <w:rPr>
          <w:rFonts w:eastAsia="Cambria"/>
          <w:sz w:val="20"/>
          <w:szCs w:val="20"/>
        </w:rPr>
        <w:t xml:space="preserve"> </w:t>
      </w:r>
      <w:r w:rsidR="005F7F35">
        <w:rPr>
          <w:rFonts w:eastAsia="Cambria"/>
          <w:sz w:val="20"/>
          <w:szCs w:val="20"/>
        </w:rPr>
        <w:t>future CO</w:t>
      </w:r>
      <w:r w:rsidR="005F7F35" w:rsidRPr="005F7F35">
        <w:rPr>
          <w:rFonts w:eastAsia="Cambria"/>
          <w:sz w:val="20"/>
          <w:szCs w:val="20"/>
          <w:vertAlign w:val="subscript"/>
        </w:rPr>
        <w:t>2</w:t>
      </w:r>
      <w:r w:rsidR="005F7F35">
        <w:rPr>
          <w:rFonts w:eastAsia="Cambria"/>
          <w:sz w:val="20"/>
          <w:szCs w:val="20"/>
        </w:rPr>
        <w:t xml:space="preserve"> </w:t>
      </w:r>
      <w:r w:rsidR="00CD0FC3" w:rsidRPr="00D35F39">
        <w:rPr>
          <w:rFonts w:eastAsia="Cambria"/>
          <w:sz w:val="20"/>
          <w:szCs w:val="20"/>
        </w:rPr>
        <w:t>emissions depend</w:t>
      </w:r>
      <w:r w:rsidR="005C2E30" w:rsidRPr="00D35F39">
        <w:rPr>
          <w:rFonts w:eastAsia="Cambria"/>
          <w:sz w:val="20"/>
          <w:szCs w:val="20"/>
        </w:rPr>
        <w:t>ing</w:t>
      </w:r>
      <w:r w:rsidR="00CD0FC3" w:rsidRPr="00D35F39">
        <w:rPr>
          <w:rFonts w:eastAsia="Cambria"/>
          <w:sz w:val="20"/>
          <w:szCs w:val="20"/>
        </w:rPr>
        <w:t xml:space="preserve"> on the mix of sources</w:t>
      </w:r>
      <w:r w:rsidR="007F1D6C" w:rsidRPr="00D35F39">
        <w:rPr>
          <w:rFonts w:eastAsia="Cambria"/>
          <w:sz w:val="20"/>
          <w:szCs w:val="20"/>
        </w:rPr>
        <w:t>,</w:t>
      </w:r>
      <w:r w:rsidR="00CD0FC3" w:rsidRPr="00D35F39">
        <w:rPr>
          <w:rFonts w:eastAsia="Cambria"/>
          <w:sz w:val="20"/>
          <w:szCs w:val="20"/>
        </w:rPr>
        <w:t xml:space="preserve"> e.g. coal or gas fired power stations, renewables and nuclear</w:t>
      </w:r>
      <w:r w:rsidR="00F620FB" w:rsidRPr="00D35F39">
        <w:rPr>
          <w:rFonts w:eastAsia="Cambria"/>
          <w:sz w:val="20"/>
          <w:szCs w:val="20"/>
        </w:rPr>
        <w:t xml:space="preserve">. </w:t>
      </w:r>
      <w:r w:rsidR="00B65ADE">
        <w:rPr>
          <w:rFonts w:eastAsia="Cambria"/>
          <w:sz w:val="20"/>
          <w:szCs w:val="20"/>
        </w:rPr>
        <w:t>S</w:t>
      </w:r>
      <w:r w:rsidR="00C04DAC" w:rsidRPr="00D35F39">
        <w:rPr>
          <w:rFonts w:eastAsia="Cambria"/>
          <w:sz w:val="20"/>
          <w:szCs w:val="20"/>
        </w:rPr>
        <w:t xml:space="preserve">cenarios </w:t>
      </w:r>
      <w:r w:rsidR="00F620FB" w:rsidRPr="00D35F39">
        <w:rPr>
          <w:rFonts w:eastAsia="Cambria"/>
          <w:sz w:val="20"/>
          <w:szCs w:val="20"/>
        </w:rPr>
        <w:t xml:space="preserve">have been described </w:t>
      </w:r>
      <w:r w:rsidR="004A4099" w:rsidRPr="00D35F39">
        <w:rPr>
          <w:rFonts w:eastAsia="Cambria"/>
          <w:sz w:val="20"/>
          <w:szCs w:val="20"/>
        </w:rPr>
        <w:t xml:space="preserve">for </w:t>
      </w:r>
      <w:r w:rsidR="00C04DAC" w:rsidRPr="00D35F39">
        <w:rPr>
          <w:rFonts w:eastAsia="Cambria"/>
          <w:sz w:val="20"/>
          <w:szCs w:val="20"/>
        </w:rPr>
        <w:t>decarboni</w:t>
      </w:r>
      <w:r w:rsidR="00015471">
        <w:rPr>
          <w:rFonts w:eastAsia="Cambria"/>
          <w:sz w:val="20"/>
          <w:szCs w:val="20"/>
        </w:rPr>
        <w:t>z</w:t>
      </w:r>
      <w:r w:rsidR="006B5151" w:rsidRPr="00D35F39">
        <w:rPr>
          <w:rFonts w:eastAsia="Cambria"/>
          <w:sz w:val="20"/>
          <w:szCs w:val="20"/>
        </w:rPr>
        <w:t>ing</w:t>
      </w:r>
      <w:r w:rsidR="00C04DAC" w:rsidRPr="00D35F39">
        <w:rPr>
          <w:rFonts w:eastAsia="Cambria"/>
          <w:sz w:val="20"/>
          <w:szCs w:val="20"/>
        </w:rPr>
        <w:t xml:space="preserve"> the grid</w:t>
      </w:r>
      <w:r w:rsidR="00AA01A1">
        <w:rPr>
          <w:rFonts w:eastAsia="Cambria"/>
          <w:sz w:val="20"/>
          <w:szCs w:val="20"/>
        </w:rPr>
        <w:t>,</w:t>
      </w:r>
      <w:r w:rsidR="00C04DAC" w:rsidRPr="00D35F39">
        <w:rPr>
          <w:rFonts w:eastAsia="Cambria"/>
          <w:sz w:val="20"/>
          <w:szCs w:val="20"/>
        </w:rPr>
        <w:t xml:space="preserve"> in line with emissions reductions targets</w:t>
      </w:r>
      <w:r w:rsidR="00C04DAC" w:rsidRPr="00D35F39">
        <w:rPr>
          <w:rFonts w:eastAsia="Cambria"/>
          <w:bCs/>
          <w:sz w:val="20"/>
          <w:szCs w:val="20"/>
        </w:rPr>
        <w:t xml:space="preserve"> </w:t>
      </w:r>
      <w:r w:rsidR="00CD0FC3" w:rsidRPr="00D35F39">
        <w:rPr>
          <w:rFonts w:eastAsia="Cambria"/>
          <w:bCs/>
          <w:sz w:val="20"/>
          <w:szCs w:val="20"/>
        </w:rPr>
        <w:t>(CCC 2010)</w:t>
      </w:r>
      <w:r w:rsidR="00CD0FC3" w:rsidRPr="00D35F39">
        <w:rPr>
          <w:rFonts w:eastAsia="Cambria"/>
          <w:sz w:val="20"/>
          <w:szCs w:val="20"/>
        </w:rPr>
        <w:t>.</w:t>
      </w:r>
      <w:r w:rsidR="003928C5" w:rsidRPr="00D35F39">
        <w:rPr>
          <w:rFonts w:eastAsia="Cambria"/>
          <w:sz w:val="20"/>
          <w:szCs w:val="20"/>
        </w:rPr>
        <w:t xml:space="preserve"> </w:t>
      </w:r>
      <w:r w:rsidR="005C2E30" w:rsidRPr="00D35F39">
        <w:rPr>
          <w:rFonts w:eastAsia="Cambria"/>
          <w:sz w:val="20"/>
          <w:szCs w:val="20"/>
        </w:rPr>
        <w:t>These c</w:t>
      </w:r>
      <w:r w:rsidR="00F620FB" w:rsidRPr="00D35F39">
        <w:rPr>
          <w:rFonts w:eastAsia="Cambria"/>
          <w:sz w:val="20"/>
          <w:szCs w:val="20"/>
        </w:rPr>
        <w:t>hanges to</w:t>
      </w:r>
      <w:r w:rsidR="002A27A1" w:rsidRPr="00D35F39">
        <w:rPr>
          <w:rFonts w:eastAsia="Cambria"/>
          <w:sz w:val="20"/>
          <w:szCs w:val="20"/>
        </w:rPr>
        <w:t xml:space="preserve"> power generation</w:t>
      </w:r>
      <w:r w:rsidR="005C2E30" w:rsidRPr="00D35F39">
        <w:rPr>
          <w:rFonts w:eastAsia="Cambria"/>
          <w:sz w:val="20"/>
          <w:szCs w:val="20"/>
        </w:rPr>
        <w:t>,</w:t>
      </w:r>
      <w:r w:rsidR="00C86E55" w:rsidRPr="00D35F39">
        <w:rPr>
          <w:rFonts w:eastAsia="Cambria"/>
          <w:sz w:val="20"/>
          <w:szCs w:val="20"/>
        </w:rPr>
        <w:t xml:space="preserve"> </w:t>
      </w:r>
      <w:r w:rsidR="005C2E30" w:rsidRPr="00D35F39">
        <w:rPr>
          <w:rFonts w:eastAsia="Cambria"/>
          <w:sz w:val="20"/>
          <w:szCs w:val="20"/>
        </w:rPr>
        <w:t xml:space="preserve">in conjunction </w:t>
      </w:r>
      <w:r w:rsidR="003928C5" w:rsidRPr="00D35F39">
        <w:rPr>
          <w:rFonts w:eastAsia="Cambria"/>
          <w:sz w:val="20"/>
          <w:szCs w:val="20"/>
        </w:rPr>
        <w:t xml:space="preserve">with policies </w:t>
      </w:r>
      <w:r w:rsidR="005C2E30" w:rsidRPr="00D35F39">
        <w:rPr>
          <w:rFonts w:eastAsia="Cambria"/>
          <w:sz w:val="20"/>
          <w:szCs w:val="20"/>
        </w:rPr>
        <w:t>aimed at</w:t>
      </w:r>
      <w:r w:rsidR="008F6CB0" w:rsidRPr="00D35F39">
        <w:rPr>
          <w:rFonts w:eastAsia="Cambria"/>
          <w:sz w:val="20"/>
          <w:szCs w:val="20"/>
        </w:rPr>
        <w:t xml:space="preserve"> </w:t>
      </w:r>
      <w:r w:rsidR="003928C5" w:rsidRPr="00D35F39">
        <w:rPr>
          <w:rFonts w:eastAsia="Cambria"/>
          <w:sz w:val="20"/>
          <w:szCs w:val="20"/>
        </w:rPr>
        <w:t>tr</w:t>
      </w:r>
      <w:r w:rsidR="008F6CB0" w:rsidRPr="00D35F39">
        <w:rPr>
          <w:rFonts w:eastAsia="Cambria"/>
          <w:sz w:val="20"/>
          <w:szCs w:val="20"/>
        </w:rPr>
        <w:t>ansport and industry</w:t>
      </w:r>
      <w:r w:rsidR="003928C5" w:rsidRPr="00D35F39">
        <w:rPr>
          <w:rFonts w:eastAsia="Cambria"/>
          <w:sz w:val="20"/>
          <w:szCs w:val="20"/>
        </w:rPr>
        <w:t xml:space="preserve"> </w:t>
      </w:r>
      <w:r w:rsidR="00C86E55" w:rsidRPr="00D35F39">
        <w:rPr>
          <w:rFonts w:eastAsia="Cambria"/>
          <w:sz w:val="20"/>
          <w:szCs w:val="20"/>
        </w:rPr>
        <w:t xml:space="preserve">are </w:t>
      </w:r>
      <w:r w:rsidR="00DB2CAF" w:rsidRPr="00D35F39">
        <w:rPr>
          <w:rFonts w:eastAsia="Cambria"/>
          <w:sz w:val="20"/>
          <w:szCs w:val="20"/>
        </w:rPr>
        <w:t xml:space="preserve">also </w:t>
      </w:r>
      <w:r w:rsidR="00C86E55" w:rsidRPr="00D35F39">
        <w:rPr>
          <w:rFonts w:eastAsia="Cambria"/>
          <w:sz w:val="20"/>
          <w:szCs w:val="20"/>
        </w:rPr>
        <w:t xml:space="preserve">expected to </w:t>
      </w:r>
      <w:r w:rsidR="008F6CB0" w:rsidRPr="00D35F39">
        <w:rPr>
          <w:rFonts w:eastAsia="Cambria"/>
          <w:sz w:val="20"/>
          <w:szCs w:val="20"/>
        </w:rPr>
        <w:t>reduce airborne pollu</w:t>
      </w:r>
      <w:r w:rsidR="00AD39B6" w:rsidRPr="00D35F39">
        <w:rPr>
          <w:rFonts w:eastAsia="Cambria"/>
          <w:sz w:val="20"/>
          <w:szCs w:val="20"/>
        </w:rPr>
        <w:t>tion,</w:t>
      </w:r>
      <w:r w:rsidR="008F6CB0" w:rsidRPr="00D35F39">
        <w:rPr>
          <w:rFonts w:eastAsia="Cambria"/>
          <w:sz w:val="20"/>
          <w:szCs w:val="20"/>
        </w:rPr>
        <w:t xml:space="preserve"> improving</w:t>
      </w:r>
      <w:r w:rsidR="00DE20BB" w:rsidRPr="00D35F39">
        <w:rPr>
          <w:rFonts w:eastAsia="Cambria"/>
          <w:sz w:val="20"/>
          <w:szCs w:val="20"/>
        </w:rPr>
        <w:t xml:space="preserve"> future air quality</w:t>
      </w:r>
      <w:r w:rsidR="008F6CB0" w:rsidRPr="00D35F39">
        <w:rPr>
          <w:rFonts w:eastAsia="Cambria"/>
          <w:sz w:val="20"/>
          <w:szCs w:val="20"/>
        </w:rPr>
        <w:t xml:space="preserve"> (Williams, 2007).</w:t>
      </w:r>
      <w:r w:rsidR="004E03D9" w:rsidRPr="00D35F39">
        <w:rPr>
          <w:sz w:val="20"/>
          <w:szCs w:val="20"/>
        </w:rPr>
        <w:t xml:space="preserve"> </w:t>
      </w:r>
      <w:r w:rsidR="005C2E30" w:rsidRPr="00D35F39">
        <w:rPr>
          <w:rFonts w:eastAsia="Cambria"/>
          <w:sz w:val="20"/>
          <w:szCs w:val="20"/>
        </w:rPr>
        <w:t>T</w:t>
      </w:r>
      <w:r w:rsidR="00EB4F67" w:rsidRPr="00D35F39">
        <w:rPr>
          <w:rFonts w:eastAsia="Cambria"/>
          <w:sz w:val="20"/>
          <w:szCs w:val="20"/>
        </w:rPr>
        <w:t xml:space="preserve">he </w:t>
      </w:r>
      <w:r w:rsidR="005C2E30" w:rsidRPr="00D35F39">
        <w:rPr>
          <w:rFonts w:eastAsia="Cambria"/>
          <w:sz w:val="20"/>
          <w:szCs w:val="20"/>
        </w:rPr>
        <w:t>coupling</w:t>
      </w:r>
      <w:r w:rsidR="00EB4F67" w:rsidRPr="00D35F39">
        <w:rPr>
          <w:rFonts w:eastAsia="Cambria"/>
          <w:sz w:val="20"/>
          <w:szCs w:val="20"/>
        </w:rPr>
        <w:t xml:space="preserve"> </w:t>
      </w:r>
      <w:r w:rsidR="005C2E30" w:rsidRPr="00D35F39">
        <w:rPr>
          <w:rFonts w:eastAsia="Cambria"/>
          <w:sz w:val="20"/>
          <w:szCs w:val="20"/>
        </w:rPr>
        <w:t xml:space="preserve">of </w:t>
      </w:r>
      <w:r w:rsidR="007504D4">
        <w:rPr>
          <w:rFonts w:eastAsia="Cambria"/>
          <w:sz w:val="20"/>
          <w:szCs w:val="20"/>
        </w:rPr>
        <w:t>fuel</w:t>
      </w:r>
      <w:r w:rsidR="007504D4" w:rsidRPr="00D35F39">
        <w:rPr>
          <w:rFonts w:eastAsia="Cambria"/>
          <w:sz w:val="20"/>
          <w:szCs w:val="20"/>
        </w:rPr>
        <w:t xml:space="preserve"> </w:t>
      </w:r>
      <w:r w:rsidR="005C2E30" w:rsidRPr="00D35F39">
        <w:rPr>
          <w:rFonts w:eastAsia="Cambria"/>
          <w:sz w:val="20"/>
          <w:szCs w:val="20"/>
        </w:rPr>
        <w:t>source</w:t>
      </w:r>
      <w:r w:rsidR="00EB4F67" w:rsidRPr="00D35F39">
        <w:rPr>
          <w:rFonts w:eastAsia="Cambria"/>
          <w:sz w:val="20"/>
          <w:szCs w:val="20"/>
        </w:rPr>
        <w:t xml:space="preserve"> and power grid decarboni</w:t>
      </w:r>
      <w:r w:rsidR="00015471">
        <w:rPr>
          <w:rFonts w:eastAsia="Cambria"/>
          <w:sz w:val="20"/>
          <w:szCs w:val="20"/>
        </w:rPr>
        <w:t>z</w:t>
      </w:r>
      <w:r w:rsidR="00EB4F67" w:rsidRPr="00D35F39">
        <w:rPr>
          <w:rFonts w:eastAsia="Cambria"/>
          <w:sz w:val="20"/>
          <w:szCs w:val="20"/>
        </w:rPr>
        <w:t xml:space="preserve">ation scenarios with energy efficiency retrofits to </w:t>
      </w:r>
      <w:r w:rsidR="005C2E30" w:rsidRPr="00D35F39">
        <w:rPr>
          <w:rFonts w:eastAsia="Cambria"/>
          <w:sz w:val="20"/>
          <w:szCs w:val="20"/>
        </w:rPr>
        <w:t xml:space="preserve">the </w:t>
      </w:r>
      <w:r w:rsidR="00EB4F67" w:rsidRPr="00D35F39">
        <w:rPr>
          <w:rFonts w:eastAsia="Cambria"/>
          <w:sz w:val="20"/>
          <w:szCs w:val="20"/>
        </w:rPr>
        <w:t xml:space="preserve">housing stock and the impact on </w:t>
      </w:r>
      <w:r w:rsidR="005C2E30" w:rsidRPr="00D35F39">
        <w:rPr>
          <w:rFonts w:eastAsia="Cambria"/>
          <w:sz w:val="20"/>
          <w:szCs w:val="20"/>
        </w:rPr>
        <w:t>IAQ</w:t>
      </w:r>
      <w:r w:rsidR="000C6EF4" w:rsidRPr="00D35F39">
        <w:rPr>
          <w:rFonts w:eastAsia="Cambria"/>
          <w:sz w:val="20"/>
          <w:szCs w:val="20"/>
        </w:rPr>
        <w:t xml:space="preserve"> </w:t>
      </w:r>
      <w:r w:rsidR="00EB4F67" w:rsidRPr="00D35F39">
        <w:rPr>
          <w:rFonts w:eastAsia="Cambria"/>
          <w:sz w:val="20"/>
          <w:szCs w:val="20"/>
        </w:rPr>
        <w:t>and health</w:t>
      </w:r>
      <w:r w:rsidR="005C2E30" w:rsidRPr="00D35F39">
        <w:rPr>
          <w:rFonts w:eastAsia="Cambria"/>
          <w:sz w:val="20"/>
          <w:szCs w:val="20"/>
        </w:rPr>
        <w:t xml:space="preserve"> is a</w:t>
      </w:r>
      <w:r w:rsidR="00DB2CAF" w:rsidRPr="00D35F39">
        <w:rPr>
          <w:rFonts w:eastAsia="Cambria"/>
          <w:sz w:val="20"/>
          <w:szCs w:val="20"/>
        </w:rPr>
        <w:t xml:space="preserve"> </w:t>
      </w:r>
      <w:r w:rsidR="00C77FEC">
        <w:rPr>
          <w:rFonts w:eastAsia="Cambria"/>
          <w:sz w:val="20"/>
          <w:szCs w:val="20"/>
        </w:rPr>
        <w:t>relatively</w:t>
      </w:r>
      <w:r w:rsidR="00A5754F">
        <w:rPr>
          <w:rFonts w:eastAsia="Cambria"/>
          <w:sz w:val="20"/>
          <w:szCs w:val="20"/>
        </w:rPr>
        <w:t xml:space="preserve"> </w:t>
      </w:r>
      <w:r w:rsidR="00DB2CAF" w:rsidRPr="00D35F39">
        <w:rPr>
          <w:rFonts w:eastAsia="Cambria"/>
          <w:sz w:val="20"/>
          <w:szCs w:val="20"/>
        </w:rPr>
        <w:t>new</w:t>
      </w:r>
      <w:r w:rsidR="005C2E30" w:rsidRPr="00D35F39">
        <w:rPr>
          <w:rFonts w:eastAsia="Cambria"/>
          <w:sz w:val="20"/>
          <w:szCs w:val="20"/>
        </w:rPr>
        <w:t xml:space="preserve"> area of research</w:t>
      </w:r>
      <w:r w:rsidR="00955079">
        <w:rPr>
          <w:rFonts w:eastAsia="Cambria"/>
          <w:sz w:val="20"/>
          <w:szCs w:val="20"/>
        </w:rPr>
        <w:t>,</w:t>
      </w:r>
      <w:r w:rsidR="00DB2CAF" w:rsidRPr="00D35F39">
        <w:rPr>
          <w:rFonts w:eastAsia="Cambria"/>
          <w:sz w:val="20"/>
          <w:szCs w:val="20"/>
        </w:rPr>
        <w:t xml:space="preserve"> </w:t>
      </w:r>
      <w:r w:rsidR="00EB4F67" w:rsidRPr="00D35F39">
        <w:rPr>
          <w:rFonts w:eastAsia="Cambria"/>
          <w:sz w:val="20"/>
          <w:szCs w:val="20"/>
        </w:rPr>
        <w:t xml:space="preserve">although </w:t>
      </w:r>
      <w:r w:rsidR="00B65ADE">
        <w:rPr>
          <w:rFonts w:eastAsia="Cambria"/>
          <w:sz w:val="20"/>
          <w:szCs w:val="20"/>
        </w:rPr>
        <w:t>they</w:t>
      </w:r>
      <w:r w:rsidR="00B65ADE" w:rsidRPr="00D35F39">
        <w:rPr>
          <w:rFonts w:eastAsia="Cambria"/>
          <w:sz w:val="20"/>
          <w:szCs w:val="20"/>
        </w:rPr>
        <w:t xml:space="preserve"> </w:t>
      </w:r>
      <w:r w:rsidR="00B65ADE">
        <w:rPr>
          <w:rFonts w:eastAsia="Cambria"/>
          <w:sz w:val="20"/>
          <w:szCs w:val="20"/>
        </w:rPr>
        <w:t>are</w:t>
      </w:r>
      <w:r w:rsidR="00EB4F67" w:rsidRPr="00D35F39">
        <w:rPr>
          <w:rFonts w:eastAsia="Cambria"/>
          <w:sz w:val="20"/>
          <w:szCs w:val="20"/>
        </w:rPr>
        <w:t xml:space="preserve"> increasingly </w:t>
      </w:r>
      <w:r w:rsidR="004878E6" w:rsidRPr="00D35F39">
        <w:rPr>
          <w:rFonts w:eastAsia="Cambria"/>
          <w:sz w:val="20"/>
          <w:szCs w:val="20"/>
        </w:rPr>
        <w:t>recognized</w:t>
      </w:r>
      <w:r w:rsidR="00EB4F67" w:rsidRPr="00D35F39">
        <w:rPr>
          <w:rFonts w:eastAsia="Cambria"/>
          <w:sz w:val="20"/>
          <w:szCs w:val="20"/>
        </w:rPr>
        <w:t xml:space="preserve"> as</w:t>
      </w:r>
      <w:r w:rsidR="00B65ADE">
        <w:rPr>
          <w:rFonts w:eastAsia="Cambria"/>
          <w:sz w:val="20"/>
          <w:szCs w:val="20"/>
        </w:rPr>
        <w:t xml:space="preserve"> </w:t>
      </w:r>
      <w:r w:rsidR="00EB4F67" w:rsidRPr="00D35F39">
        <w:rPr>
          <w:rFonts w:eastAsia="Cambria"/>
          <w:sz w:val="20"/>
          <w:szCs w:val="20"/>
        </w:rPr>
        <w:t xml:space="preserve"> </w:t>
      </w:r>
      <w:r w:rsidR="0091533F">
        <w:rPr>
          <w:rFonts w:eastAsia="Cambria"/>
          <w:sz w:val="20"/>
          <w:szCs w:val="20"/>
        </w:rPr>
        <w:t>factor</w:t>
      </w:r>
      <w:r w:rsidR="00B65ADE">
        <w:rPr>
          <w:rFonts w:eastAsia="Cambria"/>
          <w:sz w:val="20"/>
          <w:szCs w:val="20"/>
        </w:rPr>
        <w:t>s</w:t>
      </w:r>
      <w:r w:rsidR="0091533F">
        <w:rPr>
          <w:rFonts w:eastAsia="Cambria"/>
          <w:sz w:val="20"/>
          <w:szCs w:val="20"/>
        </w:rPr>
        <w:t xml:space="preserve"> </w:t>
      </w:r>
      <w:r w:rsidR="00102363">
        <w:rPr>
          <w:rFonts w:eastAsia="Cambria"/>
          <w:sz w:val="20"/>
          <w:szCs w:val="20"/>
        </w:rPr>
        <w:t>in achieving</w:t>
      </w:r>
      <w:r w:rsidR="0091533F">
        <w:rPr>
          <w:rFonts w:eastAsia="Cambria"/>
          <w:sz w:val="20"/>
          <w:szCs w:val="20"/>
        </w:rPr>
        <w:t xml:space="preserve"> UK wide CO</w:t>
      </w:r>
      <w:r w:rsidR="0091533F" w:rsidRPr="0091533F">
        <w:rPr>
          <w:rFonts w:eastAsia="Cambria"/>
          <w:sz w:val="20"/>
          <w:szCs w:val="20"/>
          <w:vertAlign w:val="subscript"/>
        </w:rPr>
        <w:t>2</w:t>
      </w:r>
      <w:r w:rsidR="0091533F">
        <w:rPr>
          <w:rFonts w:eastAsia="Cambria"/>
          <w:sz w:val="20"/>
          <w:szCs w:val="20"/>
        </w:rPr>
        <w:t xml:space="preserve"> reduction </w:t>
      </w:r>
      <w:r w:rsidR="00102363">
        <w:rPr>
          <w:rFonts w:eastAsia="Cambria"/>
          <w:sz w:val="20"/>
          <w:szCs w:val="20"/>
        </w:rPr>
        <w:t xml:space="preserve"> </w:t>
      </w:r>
      <w:r w:rsidR="0091533F">
        <w:rPr>
          <w:rFonts w:eastAsia="Cambria"/>
          <w:sz w:val="20"/>
          <w:szCs w:val="20"/>
        </w:rPr>
        <w:t>targets</w:t>
      </w:r>
      <w:r w:rsidR="00EB4F67" w:rsidRPr="00D35F39">
        <w:rPr>
          <w:rFonts w:eastAsia="Cambria"/>
          <w:sz w:val="20"/>
          <w:szCs w:val="20"/>
        </w:rPr>
        <w:t xml:space="preserve"> by Government (DECC, 2013).  </w:t>
      </w:r>
    </w:p>
    <w:p w14:paraId="60780999" w14:textId="621418B2" w:rsidR="00003E66" w:rsidRDefault="00A64297" w:rsidP="003928C5">
      <w:pPr>
        <w:spacing w:line="480" w:lineRule="auto"/>
        <w:divId w:val="434059591"/>
        <w:rPr>
          <w:rFonts w:eastAsia="Cambria"/>
          <w:bCs/>
          <w:sz w:val="20"/>
          <w:szCs w:val="20"/>
        </w:rPr>
      </w:pPr>
      <w:r>
        <w:rPr>
          <w:rFonts w:eastAsia="Cambria"/>
          <w:bCs/>
          <w:sz w:val="20"/>
          <w:szCs w:val="20"/>
        </w:rPr>
        <w:t>In this paper we describe a</w:t>
      </w:r>
      <w:r w:rsidR="00DB2CAF" w:rsidRPr="00D35F39">
        <w:rPr>
          <w:rFonts w:eastAsia="Cambria"/>
          <w:bCs/>
          <w:sz w:val="20"/>
          <w:szCs w:val="20"/>
        </w:rPr>
        <w:t xml:space="preserve"> modelling study </w:t>
      </w:r>
      <w:r w:rsidR="001A62B7">
        <w:rPr>
          <w:rFonts w:eastAsia="Cambria"/>
          <w:bCs/>
          <w:sz w:val="20"/>
          <w:szCs w:val="20"/>
        </w:rPr>
        <w:t xml:space="preserve">to assess </w:t>
      </w:r>
      <w:r w:rsidR="00AD39B6" w:rsidRPr="00D35F39">
        <w:rPr>
          <w:rFonts w:eastAsia="Cambria"/>
          <w:bCs/>
          <w:sz w:val="20"/>
          <w:szCs w:val="20"/>
        </w:rPr>
        <w:t xml:space="preserve">changes in </w:t>
      </w:r>
      <w:r w:rsidR="00B724F4" w:rsidRPr="00D35F39">
        <w:rPr>
          <w:rFonts w:eastAsia="Cambria"/>
          <w:bCs/>
          <w:sz w:val="20"/>
          <w:szCs w:val="20"/>
        </w:rPr>
        <w:t>energy use</w:t>
      </w:r>
      <w:r w:rsidR="001A62B7">
        <w:rPr>
          <w:rFonts w:eastAsia="Cambria"/>
          <w:bCs/>
          <w:sz w:val="20"/>
          <w:szCs w:val="20"/>
        </w:rPr>
        <w:t>,</w:t>
      </w:r>
      <w:r w:rsidR="00DB2CAF" w:rsidRPr="00D35F39">
        <w:rPr>
          <w:rFonts w:eastAsia="Cambria"/>
          <w:bCs/>
          <w:sz w:val="20"/>
          <w:szCs w:val="20"/>
        </w:rPr>
        <w:t xml:space="preserve"> CO</w:t>
      </w:r>
      <w:r w:rsidR="00DB2CAF" w:rsidRPr="00D35F39">
        <w:rPr>
          <w:rFonts w:eastAsia="Cambria"/>
          <w:bCs/>
          <w:sz w:val="20"/>
          <w:szCs w:val="20"/>
          <w:vertAlign w:val="subscript"/>
        </w:rPr>
        <w:t>2</w:t>
      </w:r>
      <w:r w:rsidR="00DB2CAF" w:rsidRPr="00D35F39">
        <w:rPr>
          <w:rFonts w:eastAsia="Cambria"/>
          <w:bCs/>
          <w:sz w:val="20"/>
          <w:szCs w:val="20"/>
        </w:rPr>
        <w:t xml:space="preserve"> emissions</w:t>
      </w:r>
      <w:r w:rsidR="00B724F4" w:rsidRPr="00D35F39">
        <w:rPr>
          <w:rFonts w:eastAsia="Cambria"/>
          <w:bCs/>
          <w:sz w:val="20"/>
          <w:szCs w:val="20"/>
        </w:rPr>
        <w:t xml:space="preserve">, </w:t>
      </w:r>
      <w:r w:rsidR="001A62B7">
        <w:rPr>
          <w:rFonts w:eastAsia="Cambria"/>
          <w:bCs/>
          <w:sz w:val="20"/>
          <w:szCs w:val="20"/>
        </w:rPr>
        <w:t>winter</w:t>
      </w:r>
      <w:r w:rsidR="00801355" w:rsidRPr="00D35F39">
        <w:rPr>
          <w:rFonts w:eastAsia="Cambria"/>
          <w:bCs/>
          <w:sz w:val="20"/>
          <w:szCs w:val="20"/>
        </w:rPr>
        <w:t xml:space="preserve"> </w:t>
      </w:r>
      <w:r w:rsidR="008A5171" w:rsidRPr="00D35F39">
        <w:rPr>
          <w:rFonts w:eastAsia="Cambria"/>
          <w:bCs/>
          <w:sz w:val="20"/>
          <w:szCs w:val="20"/>
        </w:rPr>
        <w:t xml:space="preserve">indoor </w:t>
      </w:r>
      <w:r w:rsidR="00801355" w:rsidRPr="00D35F39">
        <w:rPr>
          <w:rFonts w:eastAsia="Cambria"/>
          <w:bCs/>
          <w:sz w:val="20"/>
          <w:szCs w:val="20"/>
        </w:rPr>
        <w:t>temperature</w:t>
      </w:r>
      <w:r w:rsidR="001A62B7">
        <w:rPr>
          <w:rFonts w:eastAsia="Cambria"/>
          <w:bCs/>
          <w:sz w:val="20"/>
          <w:szCs w:val="20"/>
        </w:rPr>
        <w:t xml:space="preserve">s, </w:t>
      </w:r>
      <w:r w:rsidR="009824D4" w:rsidRPr="00D35F39">
        <w:rPr>
          <w:rFonts w:eastAsia="Cambria"/>
          <w:bCs/>
          <w:sz w:val="20"/>
          <w:szCs w:val="20"/>
        </w:rPr>
        <w:t xml:space="preserve">indoor </w:t>
      </w:r>
      <w:r w:rsidR="007D0AA8" w:rsidRPr="00D35F39">
        <w:rPr>
          <w:rFonts w:eastAsia="Cambria"/>
          <w:bCs/>
          <w:sz w:val="20"/>
          <w:szCs w:val="20"/>
        </w:rPr>
        <w:t xml:space="preserve">airborne pollutant </w:t>
      </w:r>
      <w:r w:rsidR="00DB2CAF" w:rsidRPr="00D35F39">
        <w:rPr>
          <w:rFonts w:eastAsia="Cambria"/>
          <w:bCs/>
          <w:sz w:val="20"/>
          <w:szCs w:val="20"/>
        </w:rPr>
        <w:t xml:space="preserve">concentrations </w:t>
      </w:r>
      <w:r w:rsidR="001A62B7">
        <w:rPr>
          <w:rFonts w:eastAsia="Cambria"/>
          <w:bCs/>
          <w:sz w:val="20"/>
          <w:szCs w:val="20"/>
        </w:rPr>
        <w:t xml:space="preserve">and associated impact on health of selected combined home energy efficiency and electricity grid decarbonization </w:t>
      </w:r>
      <w:r w:rsidR="007A3B71">
        <w:rPr>
          <w:rFonts w:eastAsia="Cambria"/>
          <w:bCs/>
          <w:sz w:val="20"/>
          <w:szCs w:val="20"/>
        </w:rPr>
        <w:t>scenarios. We</w:t>
      </w:r>
      <w:r w:rsidR="00DE688B">
        <w:rPr>
          <w:rFonts w:eastAsia="Cambria"/>
          <w:bCs/>
          <w:sz w:val="20"/>
          <w:szCs w:val="20"/>
        </w:rPr>
        <w:t xml:space="preserve"> apply these scenarios to </w:t>
      </w:r>
      <w:r w:rsidR="001263C6" w:rsidRPr="00D35F39">
        <w:rPr>
          <w:rFonts w:eastAsia="Cambria"/>
          <w:bCs/>
          <w:sz w:val="20"/>
          <w:szCs w:val="20"/>
        </w:rPr>
        <w:t xml:space="preserve">London </w:t>
      </w:r>
      <w:r w:rsidR="00DE688B">
        <w:rPr>
          <w:rFonts w:eastAsia="Cambria"/>
          <w:bCs/>
          <w:sz w:val="20"/>
          <w:szCs w:val="20"/>
        </w:rPr>
        <w:t>and Milton Keynes</w:t>
      </w:r>
      <w:r w:rsidR="001A62B7">
        <w:rPr>
          <w:rFonts w:eastAsia="Cambria"/>
          <w:bCs/>
          <w:sz w:val="20"/>
          <w:szCs w:val="20"/>
        </w:rPr>
        <w:t>.</w:t>
      </w:r>
      <w:r w:rsidR="00DE688B">
        <w:rPr>
          <w:rFonts w:eastAsia="Cambria"/>
          <w:bCs/>
          <w:sz w:val="20"/>
          <w:szCs w:val="20"/>
        </w:rPr>
        <w:t xml:space="preserve"> London</w:t>
      </w:r>
      <w:r w:rsidR="00485B05">
        <w:rPr>
          <w:rFonts w:eastAsia="Cambria"/>
          <w:bCs/>
          <w:sz w:val="20"/>
          <w:szCs w:val="20"/>
        </w:rPr>
        <w:t>,</w:t>
      </w:r>
      <w:r w:rsidR="002B1A13" w:rsidRPr="00D35F39">
        <w:rPr>
          <w:rFonts w:eastAsia="Cambria"/>
          <w:bCs/>
          <w:sz w:val="20"/>
          <w:szCs w:val="20"/>
        </w:rPr>
        <w:t xml:space="preserve"> a major city</w:t>
      </w:r>
      <w:r w:rsidR="00B724F4" w:rsidRPr="00D35F39">
        <w:rPr>
          <w:rFonts w:eastAsia="Cambria"/>
          <w:bCs/>
          <w:sz w:val="20"/>
          <w:szCs w:val="20"/>
        </w:rPr>
        <w:t xml:space="preserve"> </w:t>
      </w:r>
      <w:r w:rsidR="001A62B7">
        <w:rPr>
          <w:rFonts w:eastAsia="Cambria"/>
          <w:bCs/>
          <w:sz w:val="20"/>
          <w:szCs w:val="20"/>
        </w:rPr>
        <w:t>w</w:t>
      </w:r>
      <w:r w:rsidR="001A62B7" w:rsidRPr="00D35F39">
        <w:rPr>
          <w:rFonts w:eastAsia="Cambria"/>
          <w:bCs/>
          <w:sz w:val="20"/>
          <w:szCs w:val="20"/>
        </w:rPr>
        <w:t xml:space="preserve">ith an estimated </w:t>
      </w:r>
      <w:r w:rsidR="001A62B7">
        <w:rPr>
          <w:rFonts w:eastAsia="Cambria"/>
          <w:bCs/>
          <w:sz w:val="20"/>
          <w:szCs w:val="20"/>
        </w:rPr>
        <w:t xml:space="preserve">2010 </w:t>
      </w:r>
      <w:r w:rsidR="001A62B7" w:rsidRPr="00D35F39">
        <w:rPr>
          <w:rFonts w:eastAsia="Cambria"/>
          <w:bCs/>
          <w:sz w:val="20"/>
          <w:szCs w:val="20"/>
        </w:rPr>
        <w:t>population of 7.83 million</w:t>
      </w:r>
      <w:r w:rsidR="001A62B7">
        <w:rPr>
          <w:rFonts w:eastAsia="Cambria"/>
          <w:bCs/>
          <w:sz w:val="20"/>
          <w:szCs w:val="20"/>
        </w:rPr>
        <w:t>,</w:t>
      </w:r>
      <w:r w:rsidR="001A62B7" w:rsidRPr="00D35F39">
        <w:rPr>
          <w:rFonts w:eastAsia="Cambria"/>
          <w:bCs/>
          <w:sz w:val="20"/>
          <w:szCs w:val="20"/>
        </w:rPr>
        <w:t xml:space="preserve"> responsible for 8.4% </w:t>
      </w:r>
      <w:r w:rsidR="001A62B7">
        <w:rPr>
          <w:rFonts w:eastAsia="Cambria"/>
          <w:bCs/>
          <w:sz w:val="20"/>
          <w:szCs w:val="20"/>
        </w:rPr>
        <w:t>(</w:t>
      </w:r>
      <w:r w:rsidR="001A62B7" w:rsidRPr="00D35F39">
        <w:rPr>
          <w:rFonts w:eastAsia="Cambria"/>
          <w:bCs/>
          <w:sz w:val="20"/>
          <w:szCs w:val="20"/>
        </w:rPr>
        <w:t>44.71Mt</w:t>
      </w:r>
      <w:r w:rsidR="00955079">
        <w:rPr>
          <w:rFonts w:eastAsia="Cambria"/>
          <w:bCs/>
          <w:sz w:val="20"/>
          <w:szCs w:val="20"/>
        </w:rPr>
        <w:t>)</w:t>
      </w:r>
      <w:r w:rsidR="00955079" w:rsidRPr="00D35F39">
        <w:rPr>
          <w:rFonts w:eastAsia="Cambria"/>
          <w:bCs/>
          <w:sz w:val="20"/>
          <w:szCs w:val="20"/>
        </w:rPr>
        <w:t xml:space="preserve"> (</w:t>
      </w:r>
      <w:r w:rsidR="001A62B7" w:rsidRPr="00D35F39">
        <w:rPr>
          <w:rFonts w:eastAsia="Cambria"/>
          <w:bCs/>
          <w:sz w:val="20"/>
          <w:szCs w:val="20"/>
        </w:rPr>
        <w:t>GLA, 2010)</w:t>
      </w:r>
      <w:r w:rsidR="001A62B7">
        <w:rPr>
          <w:rFonts w:eastAsia="Cambria"/>
          <w:bCs/>
          <w:sz w:val="20"/>
          <w:szCs w:val="20"/>
        </w:rPr>
        <w:t xml:space="preserve"> </w:t>
      </w:r>
      <w:r w:rsidR="001A62B7" w:rsidRPr="00D35F39">
        <w:rPr>
          <w:rFonts w:eastAsia="Cambria"/>
          <w:bCs/>
          <w:sz w:val="20"/>
          <w:szCs w:val="20"/>
        </w:rPr>
        <w:t>of UK CO</w:t>
      </w:r>
      <w:r w:rsidR="001A62B7" w:rsidRPr="00D35F39">
        <w:rPr>
          <w:rFonts w:eastAsia="Cambria"/>
          <w:bCs/>
          <w:sz w:val="20"/>
          <w:szCs w:val="20"/>
          <w:vertAlign w:val="subscript"/>
        </w:rPr>
        <w:t>2</w:t>
      </w:r>
      <w:r w:rsidR="001A62B7" w:rsidRPr="00D35F39">
        <w:rPr>
          <w:rFonts w:eastAsia="Cambria"/>
          <w:bCs/>
          <w:sz w:val="20"/>
          <w:szCs w:val="20"/>
        </w:rPr>
        <w:t xml:space="preserve"> emissions</w:t>
      </w:r>
      <w:r w:rsidR="001A62B7">
        <w:rPr>
          <w:rFonts w:eastAsia="Cambria"/>
          <w:bCs/>
          <w:sz w:val="20"/>
          <w:szCs w:val="20"/>
        </w:rPr>
        <w:t xml:space="preserve">, and </w:t>
      </w:r>
      <w:r w:rsidR="007923A5">
        <w:rPr>
          <w:rFonts w:eastAsia="Cambria"/>
          <w:bCs/>
          <w:sz w:val="20"/>
          <w:szCs w:val="20"/>
        </w:rPr>
        <w:t>characterized</w:t>
      </w:r>
      <w:r w:rsidR="004D79CF">
        <w:rPr>
          <w:rFonts w:eastAsia="Cambria"/>
          <w:bCs/>
          <w:sz w:val="20"/>
          <w:szCs w:val="20"/>
        </w:rPr>
        <w:t xml:space="preserve"> by both new and old buildings and higher density forms</w:t>
      </w:r>
      <w:r w:rsidR="001A62B7">
        <w:rPr>
          <w:rFonts w:eastAsia="Cambria"/>
          <w:bCs/>
          <w:sz w:val="20"/>
          <w:szCs w:val="20"/>
        </w:rPr>
        <w:t>;</w:t>
      </w:r>
      <w:r w:rsidR="00DE688B">
        <w:rPr>
          <w:rFonts w:eastAsia="Cambria"/>
          <w:bCs/>
          <w:sz w:val="20"/>
          <w:szCs w:val="20"/>
        </w:rPr>
        <w:t xml:space="preserve"> </w:t>
      </w:r>
      <w:r w:rsidR="002B1A13" w:rsidRPr="00D35F39">
        <w:rPr>
          <w:rFonts w:eastAsia="Cambria"/>
          <w:bCs/>
          <w:sz w:val="20"/>
          <w:szCs w:val="20"/>
        </w:rPr>
        <w:t>Milton Keynes</w:t>
      </w:r>
      <w:r w:rsidR="00485B05">
        <w:rPr>
          <w:rFonts w:eastAsia="Cambria"/>
          <w:bCs/>
          <w:sz w:val="20"/>
          <w:szCs w:val="20"/>
        </w:rPr>
        <w:t>,</w:t>
      </w:r>
      <w:r w:rsidR="009140AA">
        <w:rPr>
          <w:rFonts w:eastAsia="Cambria"/>
          <w:bCs/>
          <w:sz w:val="20"/>
          <w:szCs w:val="20"/>
        </w:rPr>
        <w:t xml:space="preserve"> </w:t>
      </w:r>
      <w:r w:rsidR="001A62B7" w:rsidRPr="00D35F39">
        <w:rPr>
          <w:rFonts w:eastAsia="Cambria"/>
          <w:bCs/>
          <w:sz w:val="20"/>
          <w:szCs w:val="20"/>
        </w:rPr>
        <w:t>72 km north-west of London, created under the</w:t>
      </w:r>
      <w:r w:rsidR="00F80628">
        <w:rPr>
          <w:rFonts w:eastAsia="Cambria"/>
          <w:bCs/>
          <w:sz w:val="20"/>
          <w:szCs w:val="20"/>
        </w:rPr>
        <w:t xml:space="preserve"> UK’s</w:t>
      </w:r>
      <w:r w:rsidR="001110CE">
        <w:rPr>
          <w:rFonts w:eastAsia="Cambria"/>
          <w:bCs/>
          <w:sz w:val="20"/>
          <w:szCs w:val="20"/>
        </w:rPr>
        <w:t xml:space="preserve"> 2</w:t>
      </w:r>
      <w:r w:rsidR="001110CE" w:rsidRPr="00485B05">
        <w:rPr>
          <w:rFonts w:eastAsia="Cambria"/>
          <w:bCs/>
          <w:sz w:val="20"/>
          <w:szCs w:val="20"/>
        </w:rPr>
        <w:t>nd</w:t>
      </w:r>
      <w:r w:rsidR="00485B05">
        <w:rPr>
          <w:rFonts w:eastAsia="Cambria"/>
          <w:bCs/>
          <w:sz w:val="20"/>
          <w:szCs w:val="20"/>
        </w:rPr>
        <w:t xml:space="preserve"> </w:t>
      </w:r>
      <w:r w:rsidR="001A62B7" w:rsidRPr="00D35F39">
        <w:rPr>
          <w:rFonts w:eastAsia="Cambria"/>
          <w:bCs/>
          <w:sz w:val="20"/>
          <w:szCs w:val="20"/>
        </w:rPr>
        <w:t xml:space="preserve">New </w:t>
      </w:r>
      <w:r w:rsidR="00F80628">
        <w:rPr>
          <w:rFonts w:eastAsia="Cambria"/>
          <w:bCs/>
          <w:sz w:val="20"/>
          <w:szCs w:val="20"/>
        </w:rPr>
        <w:t>Towns Act</w:t>
      </w:r>
      <w:r w:rsidR="001110CE" w:rsidRPr="00D35F39">
        <w:rPr>
          <w:rFonts w:eastAsia="Cambria"/>
          <w:bCs/>
          <w:sz w:val="20"/>
          <w:szCs w:val="20"/>
        </w:rPr>
        <w:t xml:space="preserve"> </w:t>
      </w:r>
      <w:r w:rsidR="001110CE">
        <w:rPr>
          <w:rFonts w:eastAsia="Cambria"/>
          <w:bCs/>
          <w:sz w:val="20"/>
          <w:szCs w:val="20"/>
        </w:rPr>
        <w:t>1965</w:t>
      </w:r>
      <w:r w:rsidR="001A62B7">
        <w:rPr>
          <w:rFonts w:eastAsia="Cambria"/>
          <w:bCs/>
          <w:sz w:val="20"/>
          <w:szCs w:val="20"/>
        </w:rPr>
        <w:t xml:space="preserve">, with </w:t>
      </w:r>
      <w:r w:rsidR="001A62B7" w:rsidRPr="00D35F39">
        <w:rPr>
          <w:rFonts w:eastAsia="Cambria"/>
          <w:bCs/>
          <w:sz w:val="20"/>
          <w:szCs w:val="20"/>
        </w:rPr>
        <w:t xml:space="preserve">an estimated </w:t>
      </w:r>
      <w:r w:rsidR="001A62B7">
        <w:rPr>
          <w:rFonts w:eastAsia="Cambria"/>
          <w:bCs/>
          <w:sz w:val="20"/>
          <w:szCs w:val="20"/>
        </w:rPr>
        <w:t xml:space="preserve">2010 </w:t>
      </w:r>
      <w:r w:rsidR="001A62B7" w:rsidRPr="00D35F39">
        <w:rPr>
          <w:rFonts w:eastAsia="Cambria"/>
          <w:bCs/>
          <w:sz w:val="20"/>
          <w:szCs w:val="20"/>
        </w:rPr>
        <w:t xml:space="preserve">population of 241,500, and responsible for 0.3% </w:t>
      </w:r>
      <w:r w:rsidR="002C0D53">
        <w:rPr>
          <w:rFonts w:eastAsia="Cambria"/>
          <w:bCs/>
          <w:sz w:val="20"/>
          <w:szCs w:val="20"/>
        </w:rPr>
        <w:t>(</w:t>
      </w:r>
      <w:r w:rsidR="002C0D53" w:rsidRPr="00D35F39">
        <w:rPr>
          <w:rFonts w:eastAsia="Cambria"/>
          <w:bCs/>
          <w:sz w:val="20"/>
          <w:szCs w:val="20"/>
        </w:rPr>
        <w:t>1.76 Mt</w:t>
      </w:r>
      <w:r w:rsidR="002C0D53">
        <w:rPr>
          <w:rFonts w:eastAsia="Cambria"/>
          <w:bCs/>
          <w:sz w:val="20"/>
          <w:szCs w:val="20"/>
        </w:rPr>
        <w:t>)</w:t>
      </w:r>
      <w:r w:rsidR="002C0D53" w:rsidRPr="00D35F39">
        <w:rPr>
          <w:rFonts w:eastAsia="Cambria"/>
          <w:bCs/>
          <w:sz w:val="20"/>
          <w:szCs w:val="20"/>
        </w:rPr>
        <w:t xml:space="preserve"> </w:t>
      </w:r>
      <w:r w:rsidR="001A62B7" w:rsidRPr="00D35F39">
        <w:rPr>
          <w:rFonts w:eastAsia="Cambria"/>
          <w:bCs/>
          <w:sz w:val="20"/>
          <w:szCs w:val="20"/>
        </w:rPr>
        <w:t>of UK CO</w:t>
      </w:r>
      <w:r w:rsidR="001A62B7" w:rsidRPr="00D35F39">
        <w:rPr>
          <w:rFonts w:eastAsia="Cambria"/>
          <w:bCs/>
          <w:sz w:val="20"/>
          <w:szCs w:val="20"/>
          <w:vertAlign w:val="subscript"/>
        </w:rPr>
        <w:t>2</w:t>
      </w:r>
      <w:r w:rsidR="001A62B7" w:rsidRPr="00D35F39">
        <w:rPr>
          <w:rFonts w:eastAsia="Cambria"/>
          <w:bCs/>
          <w:sz w:val="20"/>
          <w:szCs w:val="20"/>
        </w:rPr>
        <w:t xml:space="preserve"> emissions</w:t>
      </w:r>
      <w:r w:rsidR="002C0D53">
        <w:rPr>
          <w:rFonts w:eastAsia="Cambria"/>
          <w:bCs/>
          <w:sz w:val="20"/>
          <w:szCs w:val="20"/>
        </w:rPr>
        <w:t xml:space="preserve"> </w:t>
      </w:r>
      <w:r w:rsidR="001A62B7" w:rsidRPr="00D35F39">
        <w:rPr>
          <w:rFonts w:eastAsia="Cambria"/>
          <w:bCs/>
          <w:sz w:val="20"/>
          <w:szCs w:val="20"/>
        </w:rPr>
        <w:t>(MKiO, 2014)</w:t>
      </w:r>
      <w:r w:rsidR="001A62B7">
        <w:rPr>
          <w:rFonts w:eastAsia="Cambria"/>
          <w:bCs/>
          <w:sz w:val="20"/>
          <w:szCs w:val="20"/>
        </w:rPr>
        <w:t xml:space="preserve">, </w:t>
      </w:r>
      <w:r w:rsidR="00DE688B">
        <w:rPr>
          <w:rFonts w:eastAsia="Cambria"/>
          <w:bCs/>
          <w:sz w:val="20"/>
          <w:szCs w:val="20"/>
        </w:rPr>
        <w:t xml:space="preserve">with </w:t>
      </w:r>
      <w:r w:rsidR="004D79CF">
        <w:rPr>
          <w:rFonts w:eastAsia="Cambria"/>
          <w:bCs/>
          <w:sz w:val="20"/>
          <w:szCs w:val="20"/>
        </w:rPr>
        <w:t>predominantly ne</w:t>
      </w:r>
      <w:r w:rsidR="00C70BD2">
        <w:rPr>
          <w:rFonts w:eastAsia="Cambria"/>
          <w:bCs/>
          <w:sz w:val="20"/>
          <w:szCs w:val="20"/>
        </w:rPr>
        <w:t>w</w:t>
      </w:r>
      <w:r w:rsidR="004D79CF">
        <w:rPr>
          <w:rFonts w:eastAsia="Cambria"/>
          <w:bCs/>
          <w:sz w:val="20"/>
          <w:szCs w:val="20"/>
        </w:rPr>
        <w:t>er and low-density forms</w:t>
      </w:r>
      <w:r w:rsidR="00F770A2">
        <w:rPr>
          <w:rFonts w:eastAsia="Cambria"/>
          <w:bCs/>
          <w:sz w:val="20"/>
          <w:szCs w:val="20"/>
        </w:rPr>
        <w:t>.</w:t>
      </w:r>
      <w:r w:rsidR="00E966DE" w:rsidRPr="00D35F39">
        <w:rPr>
          <w:rFonts w:eastAsia="Cambria"/>
          <w:bCs/>
          <w:sz w:val="20"/>
          <w:szCs w:val="20"/>
        </w:rPr>
        <w:t xml:space="preserve"> </w:t>
      </w:r>
      <w:r w:rsidR="006C0FC9">
        <w:rPr>
          <w:rFonts w:eastAsia="Cambria"/>
          <w:bCs/>
          <w:sz w:val="20"/>
          <w:szCs w:val="20"/>
        </w:rPr>
        <w:t>Population figures for 2010 are used to coincide with scenario start dates</w:t>
      </w:r>
      <w:r w:rsidR="00514A67">
        <w:rPr>
          <w:rFonts w:eastAsia="Cambria"/>
          <w:bCs/>
          <w:sz w:val="20"/>
          <w:szCs w:val="20"/>
        </w:rPr>
        <w:t xml:space="preserve"> and inform health calculations</w:t>
      </w:r>
      <w:r w:rsidR="006C0FC9">
        <w:rPr>
          <w:rFonts w:eastAsia="Cambria"/>
          <w:bCs/>
          <w:sz w:val="20"/>
          <w:szCs w:val="20"/>
        </w:rPr>
        <w:t xml:space="preserve">. </w:t>
      </w:r>
    </w:p>
    <w:p w14:paraId="7D8B90B6" w14:textId="77777777" w:rsidR="007A3B71" w:rsidRPr="00D35F39" w:rsidRDefault="007A3B71" w:rsidP="003928C5">
      <w:pPr>
        <w:spacing w:line="480" w:lineRule="auto"/>
        <w:divId w:val="434059591"/>
        <w:rPr>
          <w:sz w:val="20"/>
          <w:szCs w:val="20"/>
        </w:rPr>
      </w:pPr>
    </w:p>
    <w:p w14:paraId="78151410" w14:textId="77777777" w:rsidR="00AE10D8" w:rsidRPr="00D35F39" w:rsidRDefault="00AE10D8" w:rsidP="00AA716D">
      <w:pPr>
        <w:pStyle w:val="ListParagraph"/>
        <w:numPr>
          <w:ilvl w:val="0"/>
          <w:numId w:val="22"/>
        </w:numPr>
        <w:spacing w:after="0"/>
        <w:jc w:val="left"/>
        <w:divId w:val="434059591"/>
        <w:rPr>
          <w:rFonts w:eastAsia="Times New Roman"/>
          <w:b/>
          <w:color w:val="000000" w:themeColor="text1"/>
          <w:sz w:val="20"/>
          <w:szCs w:val="20"/>
          <w:lang w:eastAsia="en-GB"/>
        </w:rPr>
      </w:pPr>
      <w:r w:rsidRPr="00D35F39">
        <w:rPr>
          <w:rFonts w:eastAsia="Times New Roman"/>
          <w:b/>
          <w:color w:val="000000" w:themeColor="text1"/>
          <w:sz w:val="20"/>
          <w:szCs w:val="20"/>
          <w:lang w:eastAsia="en-GB"/>
        </w:rPr>
        <w:t>Methods</w:t>
      </w:r>
    </w:p>
    <w:p w14:paraId="78EACFCB" w14:textId="77777777" w:rsidR="00F85CE3" w:rsidRPr="00D35F39" w:rsidRDefault="00F85CE3" w:rsidP="00F85CE3">
      <w:pPr>
        <w:spacing w:after="0" w:line="480" w:lineRule="auto"/>
        <w:contextualSpacing/>
        <w:jc w:val="left"/>
        <w:divId w:val="434059591"/>
        <w:rPr>
          <w:rFonts w:eastAsia="Times New Roman"/>
          <w:i/>
          <w:color w:val="000000" w:themeColor="text1"/>
          <w:sz w:val="20"/>
          <w:szCs w:val="20"/>
          <w:lang w:eastAsia="en-GB"/>
        </w:rPr>
      </w:pPr>
    </w:p>
    <w:p w14:paraId="63328911" w14:textId="02857AF7" w:rsidR="00F85CE3" w:rsidRPr="00D35F39" w:rsidRDefault="00F85CE3" w:rsidP="00F85CE3">
      <w:pPr>
        <w:spacing w:after="0" w:line="480" w:lineRule="auto"/>
        <w:contextualSpacing/>
        <w:jc w:val="left"/>
        <w:divId w:val="434059591"/>
        <w:rPr>
          <w:rFonts w:eastAsia="Times New Roman"/>
          <w:color w:val="000000" w:themeColor="text1"/>
          <w:sz w:val="20"/>
          <w:szCs w:val="20"/>
          <w:lang w:eastAsia="en-GB"/>
        </w:rPr>
      </w:pPr>
      <w:r w:rsidRPr="00D35F39">
        <w:rPr>
          <w:rFonts w:eastAsia="Times New Roman"/>
          <w:i/>
          <w:color w:val="000000" w:themeColor="text1"/>
          <w:sz w:val="20"/>
          <w:szCs w:val="20"/>
          <w:lang w:eastAsia="en-GB"/>
        </w:rPr>
        <w:t>2.</w:t>
      </w:r>
      <w:r>
        <w:rPr>
          <w:rFonts w:eastAsia="Times New Roman"/>
          <w:i/>
          <w:color w:val="000000" w:themeColor="text1"/>
          <w:sz w:val="20"/>
          <w:szCs w:val="20"/>
          <w:lang w:eastAsia="en-GB"/>
        </w:rPr>
        <w:t>1.</w:t>
      </w:r>
      <w:r w:rsidRPr="00D35F39">
        <w:rPr>
          <w:rFonts w:eastAsia="Times New Roman"/>
          <w:i/>
          <w:color w:val="000000" w:themeColor="text1"/>
          <w:sz w:val="20"/>
          <w:szCs w:val="20"/>
          <w:lang w:eastAsia="en-GB"/>
        </w:rPr>
        <w:t xml:space="preserve"> </w:t>
      </w:r>
      <w:r>
        <w:rPr>
          <w:rFonts w:eastAsia="Times New Roman"/>
          <w:i/>
          <w:color w:val="000000" w:themeColor="text1"/>
          <w:sz w:val="20"/>
          <w:szCs w:val="20"/>
          <w:lang w:eastAsia="en-GB"/>
        </w:rPr>
        <w:t>Modelled</w:t>
      </w:r>
      <w:r w:rsidRPr="00D35F39">
        <w:rPr>
          <w:rFonts w:eastAsia="Times New Roman"/>
          <w:i/>
          <w:color w:val="000000" w:themeColor="text1"/>
          <w:sz w:val="20"/>
          <w:szCs w:val="20"/>
          <w:lang w:eastAsia="en-GB"/>
        </w:rPr>
        <w:t xml:space="preserve"> Scenarios: Decarboni</w:t>
      </w:r>
      <w:r w:rsidR="004878E6">
        <w:rPr>
          <w:rFonts w:eastAsia="Times New Roman"/>
          <w:i/>
          <w:color w:val="000000" w:themeColor="text1"/>
          <w:sz w:val="20"/>
          <w:szCs w:val="20"/>
          <w:lang w:eastAsia="en-GB"/>
        </w:rPr>
        <w:t>z</w:t>
      </w:r>
      <w:r w:rsidRPr="00D35F39">
        <w:rPr>
          <w:rFonts w:eastAsia="Times New Roman"/>
          <w:i/>
          <w:color w:val="000000" w:themeColor="text1"/>
          <w:sz w:val="20"/>
          <w:szCs w:val="20"/>
          <w:lang w:eastAsia="en-GB"/>
        </w:rPr>
        <w:t>ation of the Housing Stock and Electric</w:t>
      </w:r>
      <w:r>
        <w:rPr>
          <w:rFonts w:eastAsia="Times New Roman"/>
          <w:i/>
          <w:color w:val="000000" w:themeColor="text1"/>
          <w:sz w:val="20"/>
          <w:szCs w:val="20"/>
          <w:lang w:eastAsia="en-GB"/>
        </w:rPr>
        <w:t>al</w:t>
      </w:r>
      <w:r w:rsidRPr="00D35F39">
        <w:rPr>
          <w:rFonts w:eastAsia="Times New Roman"/>
          <w:i/>
          <w:color w:val="000000" w:themeColor="text1"/>
          <w:sz w:val="20"/>
          <w:szCs w:val="20"/>
          <w:lang w:eastAsia="en-GB"/>
        </w:rPr>
        <w:t xml:space="preserve"> Grid </w:t>
      </w:r>
    </w:p>
    <w:p w14:paraId="7716A5CD" w14:textId="77777777" w:rsidR="00F73261" w:rsidRDefault="00F85CE3" w:rsidP="00401320">
      <w:pPr>
        <w:overflowPunct w:val="0"/>
        <w:autoSpaceDE w:val="0"/>
        <w:autoSpaceDN w:val="0"/>
        <w:adjustRightInd w:val="0"/>
        <w:spacing w:after="0" w:line="480" w:lineRule="auto"/>
        <w:divId w:val="434059591"/>
        <w:rPr>
          <w:rFonts w:eastAsia="Cambria"/>
          <w:sz w:val="20"/>
          <w:szCs w:val="20"/>
          <w:lang w:eastAsia="en-GB"/>
        </w:rPr>
      </w:pPr>
      <w:r w:rsidRPr="00F85CE3">
        <w:rPr>
          <w:rFonts w:eastAsia="Cambria"/>
          <w:sz w:val="20"/>
          <w:szCs w:val="20"/>
          <w:lang w:eastAsia="en-GB"/>
        </w:rPr>
        <w:t xml:space="preserve">We modelled </w:t>
      </w:r>
      <w:r w:rsidR="003F6499">
        <w:rPr>
          <w:rFonts w:eastAsia="Cambria"/>
          <w:sz w:val="20"/>
          <w:szCs w:val="20"/>
          <w:lang w:eastAsia="en-GB"/>
        </w:rPr>
        <w:t xml:space="preserve">the current stock (2010) </w:t>
      </w:r>
      <w:r w:rsidR="00124A4D">
        <w:rPr>
          <w:rFonts w:eastAsia="Cambria"/>
          <w:sz w:val="20"/>
          <w:szCs w:val="20"/>
          <w:lang w:eastAsia="en-GB"/>
        </w:rPr>
        <w:t xml:space="preserve">and </w:t>
      </w:r>
      <w:r w:rsidRPr="00F85CE3">
        <w:rPr>
          <w:rFonts w:eastAsia="Cambria"/>
          <w:sz w:val="20"/>
          <w:szCs w:val="20"/>
          <w:lang w:eastAsia="en-GB"/>
        </w:rPr>
        <w:t xml:space="preserve">the </w:t>
      </w:r>
      <w:r w:rsidR="00124A4D">
        <w:rPr>
          <w:rFonts w:eastAsia="Cambria"/>
          <w:sz w:val="20"/>
          <w:szCs w:val="20"/>
          <w:lang w:eastAsia="en-GB"/>
        </w:rPr>
        <w:t>impact</w:t>
      </w:r>
      <w:r w:rsidR="003F6499">
        <w:rPr>
          <w:rFonts w:eastAsia="Cambria"/>
          <w:sz w:val="20"/>
          <w:szCs w:val="20"/>
          <w:lang w:eastAsia="en-GB"/>
        </w:rPr>
        <w:t xml:space="preserve"> </w:t>
      </w:r>
      <w:r w:rsidRPr="00F85CE3">
        <w:rPr>
          <w:rFonts w:eastAsia="Cambria"/>
          <w:sz w:val="20"/>
          <w:szCs w:val="20"/>
          <w:lang w:eastAsia="en-GB"/>
        </w:rPr>
        <w:t>of three</w:t>
      </w:r>
      <w:r w:rsidR="00A409B9">
        <w:rPr>
          <w:rFonts w:eastAsia="Cambria"/>
          <w:sz w:val="20"/>
          <w:szCs w:val="20"/>
          <w:lang w:eastAsia="en-GB"/>
        </w:rPr>
        <w:t xml:space="preserve"> future</w:t>
      </w:r>
      <w:r w:rsidRPr="00F85CE3">
        <w:rPr>
          <w:rFonts w:eastAsia="Cambria"/>
          <w:sz w:val="20"/>
          <w:szCs w:val="20"/>
          <w:lang w:eastAsia="en-GB"/>
        </w:rPr>
        <w:t xml:space="preserve"> housing/electricity grid </w:t>
      </w:r>
      <w:r w:rsidR="00832CD4" w:rsidRPr="00F85CE3">
        <w:rPr>
          <w:rFonts w:eastAsia="Cambria"/>
          <w:sz w:val="20"/>
          <w:szCs w:val="20"/>
          <w:lang w:eastAsia="en-GB"/>
        </w:rPr>
        <w:t>decarboni</w:t>
      </w:r>
      <w:r w:rsidR="005A30BE">
        <w:rPr>
          <w:rFonts w:eastAsia="Cambria"/>
          <w:sz w:val="20"/>
          <w:szCs w:val="20"/>
          <w:lang w:eastAsia="en-GB"/>
        </w:rPr>
        <w:t>z</w:t>
      </w:r>
      <w:r w:rsidR="00832CD4" w:rsidRPr="00F85CE3">
        <w:rPr>
          <w:rFonts w:eastAsia="Cambria"/>
          <w:sz w:val="20"/>
          <w:szCs w:val="20"/>
          <w:lang w:eastAsia="en-GB"/>
        </w:rPr>
        <w:t>ation</w:t>
      </w:r>
      <w:r w:rsidRPr="00F85CE3">
        <w:rPr>
          <w:rFonts w:eastAsia="Cambria"/>
          <w:sz w:val="20"/>
          <w:szCs w:val="20"/>
          <w:lang w:eastAsia="en-GB"/>
        </w:rPr>
        <w:t xml:space="preserve"> scenarios applied to the housing stock in London and Milton Keynes</w:t>
      </w:r>
      <w:r w:rsidR="00F73261">
        <w:rPr>
          <w:rFonts w:eastAsia="Cambria"/>
          <w:sz w:val="20"/>
          <w:szCs w:val="20"/>
          <w:lang w:eastAsia="en-GB"/>
        </w:rPr>
        <w:t xml:space="preserve"> (Table 1)</w:t>
      </w:r>
      <w:r w:rsidR="00A409B9">
        <w:rPr>
          <w:rFonts w:eastAsia="Cambria"/>
          <w:sz w:val="20"/>
          <w:szCs w:val="20"/>
          <w:lang w:eastAsia="en-GB"/>
        </w:rPr>
        <w:t xml:space="preserve">. </w:t>
      </w:r>
    </w:p>
    <w:p w14:paraId="7AF1CA69" w14:textId="7CD2C223" w:rsidR="00F73261" w:rsidRDefault="00F73261" w:rsidP="00F73261">
      <w:pPr>
        <w:spacing w:after="0" w:line="480" w:lineRule="auto"/>
        <w:divId w:val="434059591"/>
        <w:rPr>
          <w:rFonts w:eastAsia="Times New Roman"/>
          <w:b/>
          <w:color w:val="000000" w:themeColor="text1"/>
          <w:sz w:val="20"/>
          <w:szCs w:val="20"/>
          <w:lang w:eastAsia="en-GB"/>
        </w:rPr>
      </w:pPr>
      <w:r w:rsidRPr="00D35F39">
        <w:rPr>
          <w:rFonts w:eastAsia="Times New Roman"/>
          <w:b/>
          <w:color w:val="000000" w:themeColor="text1"/>
          <w:sz w:val="20"/>
          <w:szCs w:val="20"/>
          <w:lang w:eastAsia="en-GB"/>
        </w:rPr>
        <w:t>Table</w:t>
      </w:r>
      <w:r>
        <w:rPr>
          <w:rFonts w:eastAsia="Times New Roman"/>
          <w:b/>
          <w:color w:val="000000" w:themeColor="text1"/>
          <w:sz w:val="20"/>
          <w:szCs w:val="20"/>
          <w:lang w:eastAsia="en-GB"/>
        </w:rPr>
        <w:t xml:space="preserve"> 1</w:t>
      </w:r>
    </w:p>
    <w:p w14:paraId="3C980AFC" w14:textId="3AE38F73" w:rsidR="005A30BE" w:rsidRDefault="00A409B9" w:rsidP="00401320">
      <w:pPr>
        <w:overflowPunct w:val="0"/>
        <w:autoSpaceDE w:val="0"/>
        <w:autoSpaceDN w:val="0"/>
        <w:adjustRightInd w:val="0"/>
        <w:spacing w:after="0" w:line="480" w:lineRule="auto"/>
        <w:divId w:val="434059591"/>
        <w:rPr>
          <w:rFonts w:eastAsia="Cambria"/>
          <w:sz w:val="20"/>
          <w:szCs w:val="20"/>
          <w:lang w:eastAsia="en-GB"/>
        </w:rPr>
      </w:pPr>
      <w:r>
        <w:rPr>
          <w:rFonts w:eastAsia="Cambria"/>
          <w:sz w:val="20"/>
          <w:szCs w:val="20"/>
          <w:lang w:eastAsia="en-GB"/>
        </w:rPr>
        <w:lastRenderedPageBreak/>
        <w:t>Starting fro</w:t>
      </w:r>
      <w:r w:rsidR="00151145">
        <w:rPr>
          <w:rFonts w:eastAsia="Cambria"/>
          <w:sz w:val="20"/>
          <w:szCs w:val="20"/>
          <w:lang w:eastAsia="en-GB"/>
        </w:rPr>
        <w:t>m</w:t>
      </w:r>
      <w:r>
        <w:rPr>
          <w:rFonts w:eastAsia="Cambria"/>
          <w:sz w:val="20"/>
          <w:szCs w:val="20"/>
          <w:lang w:eastAsia="en-GB"/>
        </w:rPr>
        <w:t xml:space="preserve"> the </w:t>
      </w:r>
      <w:r w:rsidR="00151145">
        <w:rPr>
          <w:rFonts w:eastAsia="Cambria"/>
          <w:sz w:val="20"/>
          <w:szCs w:val="20"/>
          <w:lang w:eastAsia="en-GB"/>
        </w:rPr>
        <w:t>2010</w:t>
      </w:r>
      <w:r>
        <w:rPr>
          <w:rFonts w:eastAsia="Cambria"/>
          <w:sz w:val="20"/>
          <w:szCs w:val="20"/>
          <w:lang w:eastAsia="en-GB"/>
        </w:rPr>
        <w:t xml:space="preserve"> stock in both locations</w:t>
      </w:r>
      <w:r w:rsidR="00151145">
        <w:rPr>
          <w:rFonts w:eastAsia="Cambria"/>
          <w:sz w:val="20"/>
          <w:szCs w:val="20"/>
          <w:lang w:eastAsia="en-GB"/>
        </w:rPr>
        <w:t>,</w:t>
      </w:r>
      <w:r>
        <w:rPr>
          <w:rFonts w:eastAsia="Cambria"/>
          <w:sz w:val="20"/>
          <w:szCs w:val="20"/>
          <w:lang w:eastAsia="en-GB"/>
        </w:rPr>
        <w:t xml:space="preserve"> interventions were applied that brought the 2050 stock</w:t>
      </w:r>
      <w:r w:rsidR="003D2E06">
        <w:rPr>
          <w:rFonts w:eastAsia="Cambria"/>
          <w:sz w:val="20"/>
          <w:szCs w:val="20"/>
          <w:lang w:eastAsia="en-GB"/>
        </w:rPr>
        <w:t>s</w:t>
      </w:r>
      <w:r>
        <w:rPr>
          <w:rFonts w:eastAsia="Cambria"/>
          <w:sz w:val="20"/>
          <w:szCs w:val="20"/>
          <w:lang w:eastAsia="en-GB"/>
        </w:rPr>
        <w:t xml:space="preserve"> to parity in order to qua</w:t>
      </w:r>
      <w:r w:rsidR="00151145">
        <w:rPr>
          <w:rFonts w:eastAsia="Cambria"/>
          <w:sz w:val="20"/>
          <w:szCs w:val="20"/>
          <w:lang w:eastAsia="en-GB"/>
        </w:rPr>
        <w:t>n</w:t>
      </w:r>
      <w:r>
        <w:rPr>
          <w:rFonts w:eastAsia="Cambria"/>
          <w:sz w:val="20"/>
          <w:szCs w:val="20"/>
          <w:lang w:eastAsia="en-GB"/>
        </w:rPr>
        <w:t>tify the possible health impacts, energy use and CO</w:t>
      </w:r>
      <w:r w:rsidRPr="00E5130E">
        <w:rPr>
          <w:rFonts w:eastAsia="Cambria"/>
          <w:sz w:val="20"/>
          <w:szCs w:val="20"/>
          <w:vertAlign w:val="subscript"/>
          <w:lang w:eastAsia="en-GB"/>
        </w:rPr>
        <w:t>2</w:t>
      </w:r>
      <w:r>
        <w:rPr>
          <w:rFonts w:eastAsia="Cambria"/>
          <w:sz w:val="20"/>
          <w:szCs w:val="20"/>
          <w:lang w:eastAsia="en-GB"/>
        </w:rPr>
        <w:t xml:space="preserve"> savings. </w:t>
      </w:r>
      <w:r w:rsidR="005A30BE">
        <w:rPr>
          <w:rFonts w:eastAsia="Cambria"/>
          <w:sz w:val="20"/>
          <w:szCs w:val="20"/>
          <w:lang w:eastAsia="en-GB"/>
        </w:rPr>
        <w:t xml:space="preserve">The </w:t>
      </w:r>
      <w:r>
        <w:rPr>
          <w:rFonts w:eastAsia="Cambria"/>
          <w:sz w:val="20"/>
          <w:szCs w:val="20"/>
          <w:lang w:eastAsia="en-GB"/>
        </w:rPr>
        <w:t xml:space="preserve">future </w:t>
      </w:r>
      <w:r w:rsidR="005A30BE">
        <w:rPr>
          <w:rFonts w:eastAsia="Cambria"/>
          <w:sz w:val="20"/>
          <w:szCs w:val="20"/>
          <w:lang w:eastAsia="en-GB"/>
        </w:rPr>
        <w:t xml:space="preserve">contrasting </w:t>
      </w:r>
      <w:r w:rsidR="007A3B71">
        <w:rPr>
          <w:rFonts w:eastAsia="Cambria"/>
          <w:sz w:val="20"/>
          <w:szCs w:val="20"/>
          <w:lang w:eastAsia="en-GB"/>
        </w:rPr>
        <w:t xml:space="preserve">scenarios </w:t>
      </w:r>
      <w:r>
        <w:rPr>
          <w:rFonts w:eastAsia="Cambria"/>
          <w:sz w:val="20"/>
          <w:szCs w:val="20"/>
          <w:lang w:eastAsia="en-GB"/>
        </w:rPr>
        <w:t>are</w:t>
      </w:r>
      <w:r w:rsidR="005A30BE">
        <w:rPr>
          <w:rFonts w:eastAsia="Cambria"/>
          <w:sz w:val="20"/>
          <w:szCs w:val="20"/>
          <w:lang w:eastAsia="en-GB"/>
        </w:rPr>
        <w:t>:</w:t>
      </w:r>
    </w:p>
    <w:p w14:paraId="2FEA3BA4" w14:textId="66063D61" w:rsidR="005A30BE" w:rsidRDefault="005A30BE" w:rsidP="005A30BE">
      <w:pPr>
        <w:spacing w:after="0" w:line="480" w:lineRule="auto"/>
        <w:contextualSpacing/>
        <w:jc w:val="left"/>
        <w:divId w:val="434059591"/>
        <w:rPr>
          <w:rFonts w:eastAsia="Cambria"/>
          <w:sz w:val="20"/>
          <w:szCs w:val="20"/>
          <w:lang w:eastAsia="en-GB"/>
        </w:rPr>
      </w:pPr>
      <w:r>
        <w:rPr>
          <w:rFonts w:eastAsia="Cambria"/>
          <w:sz w:val="20"/>
          <w:szCs w:val="20"/>
          <w:lang w:eastAsia="en-GB"/>
        </w:rPr>
        <w:t>(</w:t>
      </w:r>
      <w:r w:rsidR="00EA5DCC">
        <w:rPr>
          <w:rFonts w:eastAsia="Cambria"/>
          <w:sz w:val="20"/>
          <w:szCs w:val="20"/>
          <w:lang w:eastAsia="en-GB"/>
        </w:rPr>
        <w:t>i</w:t>
      </w:r>
      <w:r>
        <w:rPr>
          <w:rFonts w:eastAsia="Cambria"/>
          <w:sz w:val="20"/>
          <w:szCs w:val="20"/>
          <w:lang w:eastAsia="en-GB"/>
        </w:rPr>
        <w:t>) ‘</w:t>
      </w:r>
      <w:r w:rsidR="00124A4D">
        <w:rPr>
          <w:rFonts w:eastAsia="Cambria"/>
          <w:sz w:val="20"/>
          <w:szCs w:val="20"/>
          <w:lang w:eastAsia="en-GB"/>
        </w:rPr>
        <w:t>Energy Efficient</w:t>
      </w:r>
      <w:r w:rsidR="009D349B">
        <w:rPr>
          <w:rFonts w:eastAsia="Cambria"/>
          <w:sz w:val="20"/>
          <w:szCs w:val="20"/>
          <w:lang w:eastAsia="en-GB"/>
        </w:rPr>
        <w:t xml:space="preserve"> (EE)</w:t>
      </w:r>
      <w:r w:rsidR="00124A4D">
        <w:rPr>
          <w:rFonts w:eastAsia="Cambria"/>
          <w:sz w:val="20"/>
          <w:szCs w:val="20"/>
          <w:lang w:eastAsia="en-GB"/>
        </w:rPr>
        <w:t>’</w:t>
      </w:r>
      <w:r>
        <w:rPr>
          <w:rFonts w:eastAsia="Cambria"/>
          <w:sz w:val="20"/>
          <w:szCs w:val="20"/>
          <w:lang w:eastAsia="en-GB"/>
        </w:rPr>
        <w:t xml:space="preserve">: </w:t>
      </w:r>
      <w:r w:rsidRPr="00917585">
        <w:rPr>
          <w:rFonts w:eastAsia="Cambria"/>
          <w:sz w:val="20"/>
          <w:szCs w:val="20"/>
          <w:lang w:eastAsia="en-GB"/>
        </w:rPr>
        <w:t>This assumes a business-as-usual trajectory with regard to the carbon intensity of the electricity grid</w:t>
      </w:r>
      <w:r>
        <w:rPr>
          <w:rFonts w:eastAsia="Cambria"/>
          <w:sz w:val="20"/>
          <w:szCs w:val="20"/>
          <w:lang w:eastAsia="en-GB"/>
        </w:rPr>
        <w:t xml:space="preserve"> </w:t>
      </w:r>
      <w:r w:rsidRPr="00917585">
        <w:rPr>
          <w:rFonts w:eastAsia="Cambria"/>
          <w:sz w:val="20"/>
          <w:szCs w:val="20"/>
          <w:lang w:eastAsia="en-GB"/>
        </w:rPr>
        <w:t>to 2050</w:t>
      </w:r>
      <w:r>
        <w:rPr>
          <w:rFonts w:eastAsia="Cambria"/>
          <w:sz w:val="20"/>
          <w:szCs w:val="20"/>
          <w:lang w:eastAsia="en-GB"/>
        </w:rPr>
        <w:t xml:space="preserve"> with a range of housing interventions</w:t>
      </w:r>
      <w:r w:rsidR="00401320">
        <w:rPr>
          <w:rFonts w:eastAsia="Cambria"/>
          <w:sz w:val="20"/>
          <w:szCs w:val="20"/>
          <w:lang w:eastAsia="en-GB"/>
        </w:rPr>
        <w:t xml:space="preserve"> applied to </w:t>
      </w:r>
      <w:r w:rsidR="00B32BA0">
        <w:rPr>
          <w:rFonts w:eastAsia="Cambria"/>
          <w:sz w:val="20"/>
          <w:szCs w:val="20"/>
          <w:lang w:eastAsia="en-GB"/>
        </w:rPr>
        <w:t xml:space="preserve">all </w:t>
      </w:r>
      <w:r w:rsidR="00401320">
        <w:rPr>
          <w:rFonts w:eastAsia="Cambria"/>
          <w:sz w:val="20"/>
          <w:szCs w:val="20"/>
          <w:lang w:eastAsia="en-GB"/>
        </w:rPr>
        <w:t>properties not currently having them</w:t>
      </w:r>
      <w:r w:rsidR="00922737">
        <w:rPr>
          <w:rFonts w:eastAsia="Cambria"/>
          <w:sz w:val="20"/>
          <w:szCs w:val="20"/>
          <w:lang w:eastAsia="en-GB"/>
        </w:rPr>
        <w:t>.</w:t>
      </w:r>
      <w:r w:rsidR="00922737" w:rsidRPr="00922737">
        <w:rPr>
          <w:rFonts w:eastAsia="Cambria"/>
          <w:sz w:val="20"/>
          <w:szCs w:val="20"/>
          <w:lang w:eastAsia="en-GB"/>
        </w:rPr>
        <w:t xml:space="preserve"> </w:t>
      </w:r>
      <w:r w:rsidR="00401320" w:rsidRPr="00401320">
        <w:rPr>
          <w:rFonts w:eastAsia="Cambria"/>
          <w:sz w:val="20"/>
          <w:szCs w:val="20"/>
          <w:lang w:eastAsia="en-GB"/>
        </w:rPr>
        <w:t xml:space="preserve">For housing interventions, data on the existing measures in the current stock (2010) were derived from a variety of empirical </w:t>
      </w:r>
      <w:r w:rsidR="007A3B71" w:rsidRPr="00401320">
        <w:rPr>
          <w:rFonts w:eastAsia="Cambria"/>
          <w:sz w:val="20"/>
          <w:szCs w:val="20"/>
          <w:lang w:eastAsia="en-GB"/>
        </w:rPr>
        <w:t>sources (</w:t>
      </w:r>
      <w:r w:rsidR="00401320" w:rsidRPr="00401320">
        <w:rPr>
          <w:rFonts w:eastAsia="Cambria"/>
          <w:sz w:val="20"/>
          <w:szCs w:val="20"/>
          <w:lang w:eastAsia="en-GB"/>
        </w:rPr>
        <w:t>EHS, 2012; CSE, 2012; HECA, 2013; HEED, 2014; MKiO, 2014)</w:t>
      </w:r>
      <w:r w:rsidR="00124A4D">
        <w:rPr>
          <w:rFonts w:eastAsia="Cambria"/>
          <w:sz w:val="20"/>
          <w:szCs w:val="20"/>
          <w:lang w:eastAsia="en-GB"/>
        </w:rPr>
        <w:t xml:space="preserve">. </w:t>
      </w:r>
      <w:r w:rsidR="00922737">
        <w:rPr>
          <w:rFonts w:eastAsia="Cambria"/>
          <w:sz w:val="20"/>
          <w:szCs w:val="20"/>
          <w:lang w:eastAsia="en-GB"/>
        </w:rPr>
        <w:t xml:space="preserve"> </w:t>
      </w:r>
    </w:p>
    <w:p w14:paraId="47FED11A" w14:textId="070EF5BE" w:rsidR="005A30BE" w:rsidRDefault="005A30BE" w:rsidP="005A30BE">
      <w:pPr>
        <w:spacing w:after="0" w:line="480" w:lineRule="auto"/>
        <w:contextualSpacing/>
        <w:divId w:val="434059591"/>
        <w:rPr>
          <w:rFonts w:eastAsia="Cambria"/>
          <w:sz w:val="20"/>
          <w:szCs w:val="20"/>
          <w:lang w:eastAsia="en-GB"/>
        </w:rPr>
      </w:pPr>
      <w:r>
        <w:rPr>
          <w:rFonts w:eastAsia="Cambria"/>
          <w:sz w:val="20"/>
          <w:szCs w:val="20"/>
          <w:lang w:eastAsia="en-GB"/>
        </w:rPr>
        <w:t>(ii) ‘</w:t>
      </w:r>
      <w:r w:rsidR="009D349B">
        <w:rPr>
          <w:rFonts w:eastAsia="Cambria"/>
          <w:sz w:val="20"/>
          <w:szCs w:val="20"/>
          <w:lang w:eastAsia="en-GB"/>
        </w:rPr>
        <w:t>Energy Efficiency Plus (EE</w:t>
      </w:r>
      <w:r>
        <w:rPr>
          <w:rFonts w:eastAsia="Cambria"/>
          <w:sz w:val="20"/>
          <w:szCs w:val="20"/>
          <w:lang w:eastAsia="en-GB"/>
        </w:rPr>
        <w:t>+</w:t>
      </w:r>
      <w:r w:rsidR="009D349B">
        <w:rPr>
          <w:rFonts w:eastAsia="Cambria"/>
          <w:sz w:val="20"/>
          <w:szCs w:val="20"/>
          <w:lang w:eastAsia="en-GB"/>
        </w:rPr>
        <w:t>)</w:t>
      </w:r>
      <w:r>
        <w:rPr>
          <w:rFonts w:eastAsia="Cambria"/>
          <w:sz w:val="20"/>
          <w:szCs w:val="20"/>
          <w:lang w:eastAsia="en-GB"/>
        </w:rPr>
        <w:t>’:</w:t>
      </w:r>
      <w:r w:rsidRPr="00917585">
        <w:t xml:space="preserve"> </w:t>
      </w:r>
      <w:r w:rsidRPr="00917585">
        <w:rPr>
          <w:rFonts w:eastAsia="Cambria"/>
          <w:sz w:val="20"/>
          <w:szCs w:val="20"/>
          <w:lang w:eastAsia="en-GB"/>
        </w:rPr>
        <w:t>This assumes business-as-usual carbon intensity of the grid</w:t>
      </w:r>
      <w:r w:rsidR="00922737">
        <w:rPr>
          <w:rFonts w:eastAsia="Cambria"/>
          <w:sz w:val="20"/>
          <w:szCs w:val="20"/>
          <w:lang w:eastAsia="en-GB"/>
        </w:rPr>
        <w:t>,</w:t>
      </w:r>
      <w:r w:rsidRPr="00917585">
        <w:rPr>
          <w:rFonts w:eastAsia="Cambria"/>
          <w:sz w:val="20"/>
          <w:szCs w:val="20"/>
          <w:lang w:eastAsia="en-GB"/>
        </w:rPr>
        <w:t xml:space="preserve"> but with additional housing interventions</w:t>
      </w:r>
      <w:r>
        <w:rPr>
          <w:rFonts w:eastAsia="Cambria"/>
          <w:sz w:val="20"/>
          <w:szCs w:val="20"/>
          <w:lang w:eastAsia="en-GB"/>
        </w:rPr>
        <w:t xml:space="preserve"> focused on heating and seeks to investigate the impact of a greater focus on technical adaptation of dwellings.</w:t>
      </w:r>
      <w:r w:rsidR="00922737">
        <w:rPr>
          <w:rFonts w:eastAsia="Cambria"/>
          <w:sz w:val="20"/>
          <w:szCs w:val="20"/>
          <w:lang w:eastAsia="en-GB"/>
        </w:rPr>
        <w:t xml:space="preserve"> </w:t>
      </w:r>
      <w:r w:rsidR="00B65ADE">
        <w:rPr>
          <w:rFonts w:eastAsia="Cambria"/>
          <w:sz w:val="20"/>
          <w:szCs w:val="20"/>
          <w:lang w:eastAsia="en-GB"/>
        </w:rPr>
        <w:t xml:space="preserve">These </w:t>
      </w:r>
      <w:r w:rsidR="00922737">
        <w:rPr>
          <w:rFonts w:eastAsia="Cambria"/>
          <w:sz w:val="20"/>
          <w:szCs w:val="20"/>
          <w:lang w:eastAsia="en-GB"/>
        </w:rPr>
        <w:t>are applied</w:t>
      </w:r>
      <w:r w:rsidR="00922737" w:rsidRPr="00922737">
        <w:rPr>
          <w:rFonts w:eastAsia="Cambria"/>
          <w:sz w:val="20"/>
          <w:szCs w:val="20"/>
          <w:lang w:eastAsia="en-GB"/>
        </w:rPr>
        <w:t xml:space="preserve"> </w:t>
      </w:r>
      <w:r w:rsidR="00922737">
        <w:rPr>
          <w:rFonts w:eastAsia="Cambria"/>
          <w:sz w:val="20"/>
          <w:szCs w:val="20"/>
          <w:lang w:eastAsia="en-GB"/>
        </w:rPr>
        <w:t xml:space="preserve">to all </w:t>
      </w:r>
      <w:r w:rsidR="00922737" w:rsidRPr="00922737">
        <w:rPr>
          <w:rFonts w:eastAsia="Cambria"/>
          <w:sz w:val="20"/>
          <w:szCs w:val="20"/>
          <w:lang w:eastAsia="en-GB"/>
        </w:rPr>
        <w:t xml:space="preserve">properties </w:t>
      </w:r>
      <w:r w:rsidR="003121DD">
        <w:rPr>
          <w:rFonts w:eastAsia="Cambria"/>
          <w:sz w:val="20"/>
          <w:szCs w:val="20"/>
          <w:lang w:eastAsia="en-GB"/>
        </w:rPr>
        <w:t xml:space="preserve">currently </w:t>
      </w:r>
      <w:r w:rsidR="00DF2774">
        <w:rPr>
          <w:rFonts w:eastAsia="Cambria"/>
          <w:sz w:val="20"/>
          <w:szCs w:val="20"/>
          <w:lang w:eastAsia="en-GB"/>
        </w:rPr>
        <w:t>without</w:t>
      </w:r>
      <w:r w:rsidR="00922737" w:rsidRPr="00922737">
        <w:rPr>
          <w:rFonts w:eastAsia="Cambria"/>
          <w:sz w:val="20"/>
          <w:szCs w:val="20"/>
          <w:lang w:eastAsia="en-GB"/>
        </w:rPr>
        <w:t xml:space="preserve"> them </w:t>
      </w:r>
      <w:r w:rsidR="00922737">
        <w:rPr>
          <w:rFonts w:eastAsia="Cambria"/>
          <w:sz w:val="20"/>
          <w:szCs w:val="20"/>
          <w:lang w:eastAsia="en-GB"/>
        </w:rPr>
        <w:t>and therefore represent the upper bound case.</w:t>
      </w:r>
    </w:p>
    <w:p w14:paraId="41563484" w14:textId="55CB0921" w:rsidR="003F6499" w:rsidRDefault="005A30BE" w:rsidP="003F6499">
      <w:pPr>
        <w:spacing w:after="0" w:line="480" w:lineRule="auto"/>
        <w:contextualSpacing/>
        <w:divId w:val="434059591"/>
        <w:rPr>
          <w:rFonts w:eastAsia="Cambria"/>
          <w:bCs/>
          <w:sz w:val="20"/>
          <w:szCs w:val="20"/>
        </w:rPr>
      </w:pPr>
      <w:r>
        <w:rPr>
          <w:rFonts w:eastAsia="Cambria"/>
          <w:sz w:val="20"/>
          <w:szCs w:val="20"/>
          <w:lang w:eastAsia="en-GB"/>
        </w:rPr>
        <w:t>(iii) ‘Low</w:t>
      </w:r>
      <w:r w:rsidR="009D349B">
        <w:rPr>
          <w:rFonts w:eastAsia="Cambria"/>
          <w:sz w:val="20"/>
          <w:szCs w:val="20"/>
          <w:lang w:eastAsia="en-GB"/>
        </w:rPr>
        <w:t xml:space="preserve"> C</w:t>
      </w:r>
      <w:r>
        <w:rPr>
          <w:rFonts w:eastAsia="Cambria"/>
          <w:sz w:val="20"/>
          <w:szCs w:val="20"/>
          <w:lang w:eastAsia="en-GB"/>
        </w:rPr>
        <w:t>arbon</w:t>
      </w:r>
      <w:r w:rsidR="009D349B">
        <w:rPr>
          <w:rFonts w:eastAsia="Cambria"/>
          <w:sz w:val="20"/>
          <w:szCs w:val="20"/>
          <w:lang w:eastAsia="en-GB"/>
        </w:rPr>
        <w:t xml:space="preserve"> Supply</w:t>
      </w:r>
      <w:r w:rsidR="00F0051F">
        <w:rPr>
          <w:rFonts w:eastAsia="Cambria"/>
          <w:sz w:val="20"/>
          <w:szCs w:val="20"/>
          <w:lang w:eastAsia="en-GB"/>
        </w:rPr>
        <w:t xml:space="preserve"> (LCS)</w:t>
      </w:r>
      <w:r>
        <w:rPr>
          <w:rFonts w:eastAsia="Cambria"/>
          <w:sz w:val="20"/>
          <w:szCs w:val="20"/>
          <w:lang w:eastAsia="en-GB"/>
        </w:rPr>
        <w:t xml:space="preserve">’: This assumes an </w:t>
      </w:r>
      <w:r w:rsidRPr="00F17DF8">
        <w:rPr>
          <w:rFonts w:eastAsia="Times New Roman"/>
          <w:color w:val="000000" w:themeColor="text1"/>
          <w:sz w:val="20"/>
          <w:szCs w:val="20"/>
          <w:lang w:eastAsia="en-GB"/>
        </w:rPr>
        <w:t>aggressive supply decarboni</w:t>
      </w:r>
      <w:r w:rsidR="004878E6">
        <w:rPr>
          <w:rFonts w:eastAsia="Times New Roman"/>
          <w:color w:val="000000" w:themeColor="text1"/>
          <w:sz w:val="20"/>
          <w:szCs w:val="20"/>
          <w:lang w:eastAsia="en-GB"/>
        </w:rPr>
        <w:t>z</w:t>
      </w:r>
      <w:r w:rsidRPr="00F17DF8">
        <w:rPr>
          <w:rFonts w:eastAsia="Times New Roman"/>
          <w:color w:val="000000" w:themeColor="text1"/>
          <w:sz w:val="20"/>
          <w:szCs w:val="20"/>
          <w:lang w:eastAsia="en-GB"/>
        </w:rPr>
        <w:t>ation scenario</w:t>
      </w:r>
      <w:r>
        <w:rPr>
          <w:rFonts w:eastAsia="Times New Roman"/>
          <w:color w:val="000000" w:themeColor="text1"/>
          <w:sz w:val="20"/>
          <w:szCs w:val="20"/>
          <w:lang w:eastAsia="en-GB"/>
        </w:rPr>
        <w:t xml:space="preserve"> with housing interventions as in (i)</w:t>
      </w:r>
      <w:r w:rsidR="003D2E06">
        <w:rPr>
          <w:rFonts w:eastAsia="Cambria"/>
          <w:bCs/>
          <w:sz w:val="20"/>
          <w:szCs w:val="20"/>
        </w:rPr>
        <w:t xml:space="preserve"> </w:t>
      </w:r>
      <w:r w:rsidR="007923A5">
        <w:rPr>
          <w:rFonts w:eastAsia="Cambria"/>
          <w:bCs/>
          <w:sz w:val="20"/>
          <w:szCs w:val="20"/>
        </w:rPr>
        <w:t>and</w:t>
      </w:r>
      <w:r w:rsidR="007923A5" w:rsidRPr="003B11E1">
        <w:rPr>
          <w:rFonts w:eastAsia="Cambria"/>
          <w:bCs/>
          <w:sz w:val="20"/>
          <w:szCs w:val="20"/>
        </w:rPr>
        <w:t xml:space="preserve"> that</w:t>
      </w:r>
      <w:r w:rsidR="003F6499" w:rsidRPr="003B11E1">
        <w:rPr>
          <w:rFonts w:eastAsia="Cambria"/>
          <w:bCs/>
          <w:sz w:val="20"/>
          <w:szCs w:val="20"/>
        </w:rPr>
        <w:t xml:space="preserve"> space heating in houses </w:t>
      </w:r>
      <w:r w:rsidR="003F6499">
        <w:rPr>
          <w:rFonts w:eastAsia="Cambria"/>
          <w:bCs/>
          <w:sz w:val="20"/>
          <w:szCs w:val="20"/>
        </w:rPr>
        <w:t>will be</w:t>
      </w:r>
      <w:r w:rsidR="003F6499" w:rsidRPr="003B11E1">
        <w:rPr>
          <w:rFonts w:eastAsia="Cambria"/>
          <w:bCs/>
          <w:sz w:val="20"/>
          <w:szCs w:val="20"/>
        </w:rPr>
        <w:t xml:space="preserve"> 100% electrified</w:t>
      </w:r>
      <w:r w:rsidR="003F6499">
        <w:rPr>
          <w:rFonts w:eastAsia="Cambria"/>
          <w:bCs/>
          <w:sz w:val="20"/>
          <w:szCs w:val="20"/>
        </w:rPr>
        <w:t xml:space="preserve"> by 2050.</w:t>
      </w:r>
      <w:r w:rsidR="003F6499" w:rsidRPr="003B11E1">
        <w:rPr>
          <w:rFonts w:eastAsia="Cambria"/>
          <w:bCs/>
          <w:sz w:val="20"/>
          <w:szCs w:val="20"/>
        </w:rPr>
        <w:t xml:space="preserve"> </w:t>
      </w:r>
    </w:p>
    <w:p w14:paraId="6B5C912C" w14:textId="77777777" w:rsidR="005B402F" w:rsidRDefault="003F6499" w:rsidP="00E3272F">
      <w:pPr>
        <w:overflowPunct w:val="0"/>
        <w:autoSpaceDE w:val="0"/>
        <w:autoSpaceDN w:val="0"/>
        <w:adjustRightInd w:val="0"/>
        <w:spacing w:after="0" w:line="480" w:lineRule="auto"/>
        <w:divId w:val="434059591"/>
        <w:rPr>
          <w:rFonts w:eastAsia="Cambria"/>
          <w:bCs/>
          <w:sz w:val="20"/>
          <w:szCs w:val="20"/>
        </w:rPr>
      </w:pPr>
      <w:r>
        <w:rPr>
          <w:rFonts w:eastAsia="Times New Roman"/>
          <w:color w:val="000000" w:themeColor="text1"/>
          <w:sz w:val="20"/>
          <w:szCs w:val="20"/>
          <w:lang w:eastAsia="en-GB"/>
        </w:rPr>
        <w:t>All scenarios and their individual components start from a base line of 2010 and were specified to coincide with the CO</w:t>
      </w:r>
      <w:r w:rsidRPr="008B60F6">
        <w:rPr>
          <w:rFonts w:eastAsia="Times New Roman"/>
          <w:color w:val="000000" w:themeColor="text1"/>
          <w:sz w:val="20"/>
          <w:szCs w:val="20"/>
          <w:vertAlign w:val="subscript"/>
          <w:lang w:eastAsia="en-GB"/>
        </w:rPr>
        <w:t>2</w:t>
      </w:r>
      <w:r>
        <w:rPr>
          <w:rFonts w:eastAsia="Times New Roman"/>
          <w:color w:val="000000" w:themeColor="text1"/>
          <w:sz w:val="20"/>
          <w:szCs w:val="20"/>
          <w:lang w:eastAsia="en-GB"/>
        </w:rPr>
        <w:t xml:space="preserve"> reduction target date of 2050. </w:t>
      </w:r>
    </w:p>
    <w:p w14:paraId="1C69C455" w14:textId="692A280E" w:rsidR="0020496B" w:rsidRDefault="003F6499" w:rsidP="00E3272F">
      <w:pPr>
        <w:overflowPunct w:val="0"/>
        <w:autoSpaceDE w:val="0"/>
        <w:autoSpaceDN w:val="0"/>
        <w:adjustRightInd w:val="0"/>
        <w:spacing w:after="0" w:line="480" w:lineRule="auto"/>
        <w:divId w:val="434059591"/>
        <w:rPr>
          <w:rFonts w:eastAsia="Cambria"/>
          <w:bCs/>
          <w:sz w:val="20"/>
          <w:szCs w:val="20"/>
        </w:rPr>
      </w:pPr>
      <w:r>
        <w:rPr>
          <w:rFonts w:eastAsia="Cambria"/>
          <w:bCs/>
          <w:sz w:val="20"/>
          <w:szCs w:val="20"/>
        </w:rPr>
        <w:t>The grid decarboni</w:t>
      </w:r>
      <w:r w:rsidR="004878E6">
        <w:rPr>
          <w:rFonts w:eastAsia="Cambria"/>
          <w:bCs/>
          <w:sz w:val="20"/>
          <w:szCs w:val="20"/>
        </w:rPr>
        <w:t>z</w:t>
      </w:r>
      <w:r>
        <w:rPr>
          <w:rFonts w:eastAsia="Cambria"/>
          <w:bCs/>
          <w:sz w:val="20"/>
          <w:szCs w:val="20"/>
        </w:rPr>
        <w:t xml:space="preserve">ation scenario used in (i) and (ii) are equivalent to the ‘resilient’ scenario, </w:t>
      </w:r>
      <w:r w:rsidR="005B402F">
        <w:rPr>
          <w:rFonts w:eastAsia="Cambria"/>
          <w:bCs/>
          <w:sz w:val="20"/>
          <w:szCs w:val="20"/>
        </w:rPr>
        <w:t xml:space="preserve">whilst </w:t>
      </w:r>
      <w:r>
        <w:rPr>
          <w:rFonts w:eastAsia="Cambria"/>
          <w:bCs/>
          <w:sz w:val="20"/>
          <w:szCs w:val="20"/>
        </w:rPr>
        <w:t xml:space="preserve">(iii) is equivalent to the ‘Low-carbon’ scenario </w:t>
      </w:r>
      <w:r w:rsidR="005B402F">
        <w:rPr>
          <w:rFonts w:eastAsia="Cambria"/>
          <w:bCs/>
          <w:sz w:val="20"/>
          <w:szCs w:val="20"/>
        </w:rPr>
        <w:t xml:space="preserve">both </w:t>
      </w:r>
      <w:r>
        <w:rPr>
          <w:rFonts w:eastAsia="Cambria"/>
          <w:bCs/>
          <w:sz w:val="20"/>
          <w:szCs w:val="20"/>
        </w:rPr>
        <w:t>seen in the UKERC Research Report (</w:t>
      </w:r>
      <w:r w:rsidRPr="003F6499">
        <w:rPr>
          <w:rFonts w:eastAsia="Cambria"/>
          <w:bCs/>
          <w:sz w:val="20"/>
          <w:szCs w:val="20"/>
        </w:rPr>
        <w:t>UKERC, 2013</w:t>
      </w:r>
      <w:r>
        <w:rPr>
          <w:rFonts w:eastAsia="Cambria"/>
          <w:bCs/>
          <w:sz w:val="20"/>
          <w:szCs w:val="20"/>
        </w:rPr>
        <w:t>).</w:t>
      </w:r>
    </w:p>
    <w:p w14:paraId="230BB4B1" w14:textId="36F40DE5" w:rsidR="00E3272F" w:rsidRPr="00D35F39" w:rsidRDefault="00E3272F" w:rsidP="00E3272F">
      <w:pPr>
        <w:overflowPunct w:val="0"/>
        <w:autoSpaceDE w:val="0"/>
        <w:autoSpaceDN w:val="0"/>
        <w:adjustRightInd w:val="0"/>
        <w:spacing w:after="0" w:line="480" w:lineRule="auto"/>
        <w:divId w:val="434059591"/>
        <w:rPr>
          <w:rFonts w:eastAsia="HGｺﾞｼｯｸE"/>
          <w:bCs/>
          <w:sz w:val="20"/>
          <w:szCs w:val="20"/>
        </w:rPr>
      </w:pPr>
      <w:r w:rsidRPr="00D35F39">
        <w:rPr>
          <w:rFonts w:eastAsia="Cambria"/>
          <w:bCs/>
          <w:sz w:val="20"/>
          <w:szCs w:val="20"/>
        </w:rPr>
        <w:t xml:space="preserve">The baseline (2010) figure for carbon intensity (CI) </w:t>
      </w:r>
      <w:r w:rsidR="008626B8">
        <w:rPr>
          <w:rFonts w:eastAsia="Cambria"/>
          <w:bCs/>
          <w:sz w:val="20"/>
          <w:szCs w:val="20"/>
        </w:rPr>
        <w:t>comes from</w:t>
      </w:r>
      <w:r w:rsidRPr="00D35F39">
        <w:rPr>
          <w:rFonts w:eastAsia="Cambria"/>
          <w:bCs/>
          <w:sz w:val="20"/>
          <w:szCs w:val="20"/>
        </w:rPr>
        <w:t xml:space="preserve"> data for </w:t>
      </w:r>
      <w:r w:rsidR="004878E6" w:rsidRPr="00D35F39">
        <w:rPr>
          <w:rFonts w:eastAsia="Cambria"/>
          <w:bCs/>
          <w:sz w:val="20"/>
          <w:szCs w:val="20"/>
        </w:rPr>
        <w:t>centralized</w:t>
      </w:r>
      <w:r w:rsidRPr="00D35F39">
        <w:rPr>
          <w:rFonts w:eastAsia="Cambria"/>
          <w:bCs/>
          <w:sz w:val="20"/>
          <w:szCs w:val="20"/>
        </w:rPr>
        <w:t xml:space="preserve"> electricity generation from the Digest of UK Energy Statistics, DUKES (2011). </w:t>
      </w:r>
      <w:r w:rsidR="0020496B" w:rsidRPr="00D35F39">
        <w:rPr>
          <w:rFonts w:eastAsia="HGｺﾞｼｯｸE"/>
          <w:bCs/>
          <w:sz w:val="20"/>
          <w:szCs w:val="20"/>
        </w:rPr>
        <w:t>The emission reductions of the energy supply grid</w:t>
      </w:r>
      <w:r w:rsidR="0020496B">
        <w:rPr>
          <w:rFonts w:eastAsia="HGｺﾞｼｯｸE"/>
          <w:bCs/>
          <w:sz w:val="20"/>
          <w:szCs w:val="20"/>
        </w:rPr>
        <w:t xml:space="preserve"> and </w:t>
      </w:r>
      <w:r w:rsidR="0020496B" w:rsidRPr="00D35F39">
        <w:rPr>
          <w:rFonts w:eastAsia="HGｺﾞｼｯｸE"/>
          <w:bCs/>
          <w:sz w:val="20"/>
          <w:szCs w:val="20"/>
        </w:rPr>
        <w:t>power sector fuel mix</w:t>
      </w:r>
      <w:r w:rsidR="0020496B">
        <w:rPr>
          <w:rFonts w:eastAsia="HGｺﾞｼｯｸE"/>
          <w:bCs/>
          <w:sz w:val="20"/>
          <w:szCs w:val="20"/>
        </w:rPr>
        <w:t xml:space="preserve"> and </w:t>
      </w:r>
      <w:r w:rsidR="0020496B" w:rsidRPr="00D35F39">
        <w:rPr>
          <w:rFonts w:eastAsia="HGｺﾞｼｯｸE"/>
          <w:bCs/>
          <w:sz w:val="20"/>
          <w:szCs w:val="20"/>
        </w:rPr>
        <w:t xml:space="preserve">grid emission </w:t>
      </w:r>
      <w:r w:rsidR="0020496B" w:rsidRPr="00F85CE3">
        <w:rPr>
          <w:rFonts w:eastAsia="HGｺﾞｼｯｸE"/>
          <w:bCs/>
          <w:sz w:val="20"/>
          <w:szCs w:val="20"/>
        </w:rPr>
        <w:t>figure</w:t>
      </w:r>
      <w:r w:rsidR="0020496B">
        <w:rPr>
          <w:rFonts w:eastAsia="HGｺﾞｼｯｸE"/>
          <w:bCs/>
          <w:sz w:val="20"/>
          <w:szCs w:val="20"/>
        </w:rPr>
        <w:t>s</w:t>
      </w:r>
      <w:r w:rsidR="0020496B" w:rsidRPr="00F85CE3">
        <w:rPr>
          <w:rFonts w:eastAsia="HGｺﾞｼｯｸE"/>
          <w:bCs/>
          <w:sz w:val="20"/>
          <w:szCs w:val="20"/>
        </w:rPr>
        <w:t xml:space="preserve"> for carbon intensity (CI)</w:t>
      </w:r>
      <w:r w:rsidR="0020496B">
        <w:rPr>
          <w:rFonts w:eastAsia="HGｺﾞｼｯｸE"/>
          <w:bCs/>
          <w:sz w:val="20"/>
          <w:szCs w:val="20"/>
        </w:rPr>
        <w:t xml:space="preserve"> were derived </w:t>
      </w:r>
      <w:r w:rsidR="0020496B" w:rsidRPr="00D35F39">
        <w:rPr>
          <w:rFonts w:eastAsia="HGｺﾞｼｯｸE"/>
          <w:bCs/>
          <w:sz w:val="20"/>
          <w:szCs w:val="20"/>
        </w:rPr>
        <w:t>f</w:t>
      </w:r>
      <w:r w:rsidR="0020496B">
        <w:rPr>
          <w:rFonts w:eastAsia="HGｺﾞｼｯｸE"/>
          <w:bCs/>
          <w:sz w:val="20"/>
          <w:szCs w:val="20"/>
        </w:rPr>
        <w:t>rom</w:t>
      </w:r>
      <w:r w:rsidR="0020496B" w:rsidRPr="00D35F39">
        <w:rPr>
          <w:rFonts w:eastAsia="HGｺﾞｼｯｸE"/>
          <w:bCs/>
          <w:sz w:val="20"/>
          <w:szCs w:val="20"/>
        </w:rPr>
        <w:t xml:space="preserve"> the UK Energy Research Centre</w:t>
      </w:r>
      <w:r w:rsidR="0020496B">
        <w:rPr>
          <w:rFonts w:eastAsia="HGｺﾞｼｯｸE"/>
          <w:bCs/>
          <w:sz w:val="20"/>
          <w:szCs w:val="20"/>
        </w:rPr>
        <w:t xml:space="preserve"> (UKERC)</w:t>
      </w:r>
      <w:r w:rsidR="0020496B" w:rsidRPr="00D35F39">
        <w:rPr>
          <w:rFonts w:eastAsia="HGｺﾞｼｯｸE"/>
          <w:bCs/>
          <w:sz w:val="20"/>
          <w:szCs w:val="20"/>
        </w:rPr>
        <w:t xml:space="preserve"> scenarios</w:t>
      </w:r>
      <w:r w:rsidR="0020496B">
        <w:rPr>
          <w:rFonts w:eastAsia="HGｺﾞｼｯｸE"/>
          <w:bCs/>
          <w:sz w:val="20"/>
          <w:szCs w:val="20"/>
        </w:rPr>
        <w:t xml:space="preserve"> within</w:t>
      </w:r>
      <w:r w:rsidR="0020496B" w:rsidRPr="00D35F39">
        <w:rPr>
          <w:rFonts w:eastAsia="HGｺﾞｼｯｸE"/>
          <w:bCs/>
          <w:sz w:val="20"/>
          <w:szCs w:val="20"/>
        </w:rPr>
        <w:t xml:space="preserve"> the UK Committee on Climate Change 4</w:t>
      </w:r>
      <w:r w:rsidR="0020496B" w:rsidRPr="00D35F39">
        <w:rPr>
          <w:rFonts w:eastAsia="HGｺﾞｼｯｸE"/>
          <w:bCs/>
          <w:sz w:val="20"/>
          <w:szCs w:val="20"/>
          <w:vertAlign w:val="superscript"/>
        </w:rPr>
        <w:t>th</w:t>
      </w:r>
      <w:r w:rsidR="0020496B" w:rsidRPr="00D35F39">
        <w:rPr>
          <w:rFonts w:eastAsia="HGｺﾞｼｯｸE"/>
          <w:bCs/>
          <w:sz w:val="20"/>
          <w:szCs w:val="20"/>
        </w:rPr>
        <w:t xml:space="preserve"> Carbon Budget report</w:t>
      </w:r>
      <w:r w:rsidR="0020496B">
        <w:rPr>
          <w:rFonts w:eastAsia="HGｺﾞｼｯｸE"/>
          <w:bCs/>
          <w:sz w:val="20"/>
          <w:szCs w:val="20"/>
        </w:rPr>
        <w:t>.</w:t>
      </w:r>
      <w:r w:rsidR="0020496B" w:rsidRPr="008E3C30">
        <w:rPr>
          <w:rFonts w:eastAsia="HGｺﾞｼｯｸE"/>
          <w:bCs/>
          <w:sz w:val="20"/>
          <w:szCs w:val="20"/>
        </w:rPr>
        <w:t xml:space="preserve"> </w:t>
      </w:r>
      <w:r w:rsidR="0020496B" w:rsidRPr="00D35F39">
        <w:rPr>
          <w:rFonts w:eastAsia="HGｺﾞｼｯｸE"/>
          <w:bCs/>
          <w:sz w:val="20"/>
          <w:szCs w:val="20"/>
        </w:rPr>
        <w:t>(</w:t>
      </w:r>
      <w:r w:rsidR="0020496B" w:rsidRPr="00D35F39">
        <w:rPr>
          <w:color w:val="000000" w:themeColor="text1"/>
          <w:sz w:val="20"/>
          <w:szCs w:val="20"/>
        </w:rPr>
        <w:t xml:space="preserve">CCC, 2010; </w:t>
      </w:r>
      <w:r w:rsidR="0020496B" w:rsidRPr="00D35F39">
        <w:rPr>
          <w:rFonts w:eastAsia="HGｺﾞｼｯｸE"/>
          <w:bCs/>
          <w:sz w:val="20"/>
          <w:szCs w:val="20"/>
        </w:rPr>
        <w:t>UKERC, 2013).</w:t>
      </w:r>
      <w:r w:rsidR="0020496B">
        <w:rPr>
          <w:rFonts w:eastAsia="HGｺﾞｼｯｸE"/>
          <w:bCs/>
          <w:sz w:val="20"/>
          <w:szCs w:val="20"/>
        </w:rPr>
        <w:t xml:space="preserve"> </w:t>
      </w:r>
      <w:r w:rsidR="007A3B71">
        <w:rPr>
          <w:rFonts w:eastAsia="HGｺﾞｼｯｸE"/>
          <w:bCs/>
          <w:sz w:val="20"/>
          <w:szCs w:val="20"/>
        </w:rPr>
        <w:t>These were</w:t>
      </w:r>
      <w:r w:rsidR="0020496B">
        <w:rPr>
          <w:rFonts w:eastAsia="HGｺﾞｼｯｸE"/>
          <w:bCs/>
          <w:sz w:val="20"/>
          <w:szCs w:val="20"/>
        </w:rPr>
        <w:t xml:space="preserve"> chosen as they </w:t>
      </w:r>
      <w:r w:rsidR="0020496B">
        <w:rPr>
          <w:rFonts w:eastAsia="Cambria"/>
          <w:bCs/>
          <w:sz w:val="20"/>
          <w:szCs w:val="20"/>
        </w:rPr>
        <w:t xml:space="preserve">allow </w:t>
      </w:r>
      <w:r w:rsidR="007A3B71">
        <w:rPr>
          <w:rFonts w:eastAsia="Cambria"/>
          <w:bCs/>
          <w:sz w:val="20"/>
          <w:szCs w:val="20"/>
        </w:rPr>
        <w:t>for structural</w:t>
      </w:r>
      <w:r w:rsidR="0020496B" w:rsidRPr="00D35F39">
        <w:rPr>
          <w:rFonts w:eastAsia="Cambria"/>
          <w:bCs/>
          <w:sz w:val="20"/>
          <w:szCs w:val="20"/>
        </w:rPr>
        <w:t xml:space="preserve"> uncertainties in future energy supply </w:t>
      </w:r>
      <w:r w:rsidR="0020496B">
        <w:rPr>
          <w:rFonts w:eastAsia="Cambria"/>
          <w:bCs/>
          <w:sz w:val="20"/>
          <w:szCs w:val="20"/>
        </w:rPr>
        <w:t>and</w:t>
      </w:r>
      <w:r w:rsidR="0020496B">
        <w:rPr>
          <w:rFonts w:eastAsia="HGｺﾞｼｯｸE"/>
          <w:bCs/>
          <w:sz w:val="20"/>
          <w:szCs w:val="20"/>
        </w:rPr>
        <w:t xml:space="preserve"> </w:t>
      </w:r>
      <w:r w:rsidR="0020496B">
        <w:rPr>
          <w:rFonts w:eastAsia="Cambria"/>
          <w:bCs/>
          <w:sz w:val="20"/>
          <w:szCs w:val="20"/>
        </w:rPr>
        <w:t xml:space="preserve">represent the upper and lower boundaries of possible grid decarbonization. </w:t>
      </w:r>
      <w:r w:rsidRPr="00D35F39">
        <w:rPr>
          <w:rFonts w:eastAsia="Cambria"/>
          <w:bCs/>
          <w:sz w:val="20"/>
          <w:szCs w:val="20"/>
        </w:rPr>
        <w:t xml:space="preserve">The </w:t>
      </w:r>
      <w:r w:rsidR="00740CA9">
        <w:rPr>
          <w:rFonts w:eastAsia="Cambria"/>
          <w:bCs/>
          <w:sz w:val="20"/>
          <w:szCs w:val="20"/>
        </w:rPr>
        <w:t xml:space="preserve">year by year </w:t>
      </w:r>
      <w:r w:rsidRPr="00D35F39">
        <w:rPr>
          <w:rFonts w:eastAsia="Cambria"/>
          <w:bCs/>
          <w:sz w:val="20"/>
          <w:szCs w:val="20"/>
        </w:rPr>
        <w:t xml:space="preserve">CI </w:t>
      </w:r>
      <w:r w:rsidR="00740CA9">
        <w:rPr>
          <w:rFonts w:eastAsia="Cambria"/>
          <w:bCs/>
          <w:sz w:val="20"/>
          <w:szCs w:val="20"/>
        </w:rPr>
        <w:t xml:space="preserve">figures </w:t>
      </w:r>
      <w:r w:rsidRPr="00D35F39">
        <w:rPr>
          <w:rFonts w:eastAsia="Cambria"/>
          <w:bCs/>
          <w:sz w:val="20"/>
          <w:szCs w:val="20"/>
        </w:rPr>
        <w:t xml:space="preserve">represent national targets with local trends assumed to evolve similarly over time. </w:t>
      </w:r>
      <w:r w:rsidRPr="00D35F39">
        <w:rPr>
          <w:rFonts w:eastAsia="Times New Roman"/>
          <w:bCs/>
          <w:sz w:val="20"/>
          <w:szCs w:val="20"/>
        </w:rPr>
        <w:t>UKERC scenarios reduce grid emissions through specific investment choices, such that remaining sector reductions</w:t>
      </w:r>
      <w:r>
        <w:rPr>
          <w:rFonts w:eastAsia="Times New Roman"/>
          <w:bCs/>
          <w:sz w:val="20"/>
          <w:szCs w:val="20"/>
        </w:rPr>
        <w:t xml:space="preserve"> (including housing)</w:t>
      </w:r>
      <w:r w:rsidRPr="00D35F39">
        <w:rPr>
          <w:rFonts w:eastAsia="Times New Roman"/>
          <w:bCs/>
          <w:sz w:val="20"/>
          <w:szCs w:val="20"/>
        </w:rPr>
        <w:t xml:space="preserve"> are to be achieved through technology, efficiency and conservation (UKERC, 2013).</w:t>
      </w:r>
      <w:r w:rsidRPr="00D35F39">
        <w:rPr>
          <w:rFonts w:eastAsia="Cambria"/>
          <w:bCs/>
          <w:sz w:val="20"/>
          <w:szCs w:val="20"/>
        </w:rPr>
        <w:t xml:space="preserve"> </w:t>
      </w:r>
    </w:p>
    <w:p w14:paraId="5E203F6E" w14:textId="411595FE" w:rsidR="00A91DDA" w:rsidRDefault="00607F7C" w:rsidP="00F85CE3">
      <w:pPr>
        <w:spacing w:after="0" w:line="480" w:lineRule="auto"/>
        <w:contextualSpacing/>
        <w:divId w:val="434059591"/>
        <w:rPr>
          <w:rFonts w:eastAsia="Cambria"/>
          <w:sz w:val="20"/>
          <w:szCs w:val="20"/>
          <w:lang w:eastAsia="en-GB"/>
        </w:rPr>
      </w:pPr>
      <w:r>
        <w:rPr>
          <w:rFonts w:eastAsia="Cambria"/>
          <w:sz w:val="20"/>
          <w:szCs w:val="20"/>
          <w:lang w:eastAsia="en-GB"/>
        </w:rPr>
        <w:t xml:space="preserve">We </w:t>
      </w:r>
      <w:r w:rsidR="00645E29" w:rsidRPr="00645E29">
        <w:rPr>
          <w:rFonts w:eastAsia="Cambria"/>
          <w:sz w:val="20"/>
          <w:szCs w:val="20"/>
          <w:lang w:eastAsia="en-GB"/>
        </w:rPr>
        <w:t xml:space="preserve">assumed that </w:t>
      </w:r>
      <w:r>
        <w:rPr>
          <w:rFonts w:eastAsia="Cambria"/>
          <w:sz w:val="20"/>
          <w:szCs w:val="20"/>
          <w:lang w:eastAsia="en-GB"/>
        </w:rPr>
        <w:t xml:space="preserve">installed </w:t>
      </w:r>
      <w:r w:rsidR="00645E29" w:rsidRPr="00645E29">
        <w:rPr>
          <w:rFonts w:eastAsia="Cambria"/>
          <w:sz w:val="20"/>
          <w:szCs w:val="20"/>
          <w:lang w:eastAsia="en-GB"/>
        </w:rPr>
        <w:t>measures are replaced once their life expectancy is over (e.g. boilers are replaced after 15 years)</w:t>
      </w:r>
      <w:r>
        <w:rPr>
          <w:rFonts w:eastAsia="Cambria"/>
          <w:sz w:val="20"/>
          <w:szCs w:val="20"/>
          <w:lang w:eastAsia="en-GB"/>
        </w:rPr>
        <w:t xml:space="preserve">. </w:t>
      </w:r>
      <w:r w:rsidR="00A8224E">
        <w:rPr>
          <w:rFonts w:eastAsia="Cambria"/>
          <w:sz w:val="20"/>
          <w:szCs w:val="20"/>
          <w:lang w:eastAsia="en-GB"/>
        </w:rPr>
        <w:t>Due to uncertainties,</w:t>
      </w:r>
      <w:r>
        <w:rPr>
          <w:rFonts w:eastAsia="Cambria"/>
          <w:sz w:val="20"/>
          <w:szCs w:val="20"/>
          <w:lang w:eastAsia="en-GB"/>
        </w:rPr>
        <w:t xml:space="preserve"> </w:t>
      </w:r>
      <w:r w:rsidR="00A8224E">
        <w:rPr>
          <w:rFonts w:eastAsia="Cambria"/>
          <w:sz w:val="20"/>
          <w:szCs w:val="20"/>
          <w:lang w:eastAsia="en-GB"/>
        </w:rPr>
        <w:t>w</w:t>
      </w:r>
      <w:r>
        <w:rPr>
          <w:rFonts w:eastAsia="Cambria"/>
          <w:sz w:val="20"/>
          <w:szCs w:val="20"/>
          <w:lang w:eastAsia="en-GB"/>
        </w:rPr>
        <w:t xml:space="preserve">e made </w:t>
      </w:r>
      <w:r w:rsidR="00645E29" w:rsidRPr="00645E29">
        <w:rPr>
          <w:rFonts w:eastAsia="Cambria"/>
          <w:sz w:val="20"/>
          <w:szCs w:val="20"/>
          <w:lang w:eastAsia="en-GB"/>
        </w:rPr>
        <w:t xml:space="preserve">no allowance for </w:t>
      </w:r>
      <w:r w:rsidR="00A8224E">
        <w:rPr>
          <w:rFonts w:eastAsia="Cambria"/>
          <w:sz w:val="20"/>
          <w:szCs w:val="20"/>
          <w:lang w:eastAsia="en-GB"/>
        </w:rPr>
        <w:t xml:space="preserve">possible </w:t>
      </w:r>
      <w:r w:rsidR="00645E29" w:rsidRPr="00645E29">
        <w:rPr>
          <w:rFonts w:eastAsia="Cambria"/>
          <w:sz w:val="20"/>
          <w:szCs w:val="20"/>
          <w:lang w:eastAsia="en-GB"/>
        </w:rPr>
        <w:t>future improvements in efficiency or new technology</w:t>
      </w:r>
      <w:r w:rsidR="006833E4">
        <w:rPr>
          <w:rFonts w:eastAsia="Cambria"/>
          <w:sz w:val="20"/>
          <w:szCs w:val="20"/>
          <w:lang w:eastAsia="en-GB"/>
        </w:rPr>
        <w:t>.</w:t>
      </w:r>
    </w:p>
    <w:p w14:paraId="3AA3B915" w14:textId="77777777" w:rsidR="00454DA0" w:rsidRDefault="00454DA0" w:rsidP="00F85CE3">
      <w:pPr>
        <w:spacing w:after="0" w:line="480" w:lineRule="auto"/>
        <w:contextualSpacing/>
        <w:divId w:val="434059591"/>
        <w:rPr>
          <w:rFonts w:eastAsia="Cambria"/>
          <w:sz w:val="20"/>
          <w:szCs w:val="20"/>
          <w:lang w:eastAsia="en-GB"/>
        </w:rPr>
      </w:pPr>
    </w:p>
    <w:p w14:paraId="529DC618" w14:textId="190A1664" w:rsidR="00454DA0" w:rsidRDefault="00746EA8" w:rsidP="00F85CE3">
      <w:pPr>
        <w:spacing w:after="0" w:line="480" w:lineRule="auto"/>
        <w:contextualSpacing/>
        <w:divId w:val="434059591"/>
        <w:rPr>
          <w:rFonts w:eastAsia="Cambria"/>
          <w:sz w:val="20"/>
          <w:szCs w:val="20"/>
          <w:lang w:eastAsia="en-GB"/>
        </w:rPr>
      </w:pPr>
      <w:r>
        <w:rPr>
          <w:rFonts w:eastAsia="HGｺﾞｼｯｸE"/>
          <w:bCs/>
          <w:sz w:val="20"/>
          <w:szCs w:val="20"/>
        </w:rPr>
        <w:lastRenderedPageBreak/>
        <w:t>Although</w:t>
      </w:r>
      <w:r w:rsidR="00E1322D">
        <w:rPr>
          <w:rFonts w:eastAsia="HGｺﾞｼｯｸE"/>
          <w:bCs/>
          <w:sz w:val="20"/>
          <w:szCs w:val="20"/>
        </w:rPr>
        <w:t xml:space="preserve"> </w:t>
      </w:r>
      <w:r w:rsidRPr="00533ED6">
        <w:rPr>
          <w:rFonts w:eastAsia="HGｺﾞｼｯｸE"/>
          <w:bCs/>
          <w:sz w:val="20"/>
          <w:szCs w:val="20"/>
        </w:rPr>
        <w:t xml:space="preserve">the UK building regulations require that air quality is made no worse following retrofitting, there is no specific guidance </w:t>
      </w:r>
      <w:r w:rsidR="003D1826">
        <w:rPr>
          <w:rFonts w:eastAsia="HGｺﾞｼｯｸE"/>
          <w:bCs/>
          <w:sz w:val="20"/>
          <w:szCs w:val="20"/>
        </w:rPr>
        <w:t>regarding</w:t>
      </w:r>
      <w:r w:rsidR="003D1826" w:rsidRPr="00533ED6">
        <w:rPr>
          <w:rFonts w:eastAsia="HGｺﾞｼｯｸE"/>
          <w:bCs/>
          <w:sz w:val="20"/>
          <w:szCs w:val="20"/>
        </w:rPr>
        <w:t xml:space="preserve"> </w:t>
      </w:r>
      <w:r w:rsidRPr="00533ED6">
        <w:rPr>
          <w:rFonts w:eastAsia="HGｺﾞｼｯｸE"/>
          <w:bCs/>
          <w:sz w:val="20"/>
          <w:szCs w:val="20"/>
        </w:rPr>
        <w:t xml:space="preserve">ventilation for energy efficiency retrofits.  </w:t>
      </w:r>
      <w:r>
        <w:rPr>
          <w:rFonts w:eastAsia="Cambria"/>
          <w:sz w:val="20"/>
          <w:szCs w:val="20"/>
          <w:lang w:eastAsia="en-GB"/>
        </w:rPr>
        <w:t>All future</w:t>
      </w:r>
      <w:r w:rsidR="00E1322D">
        <w:rPr>
          <w:rFonts w:eastAsia="Cambria"/>
          <w:sz w:val="20"/>
          <w:szCs w:val="20"/>
          <w:lang w:eastAsia="en-GB"/>
        </w:rPr>
        <w:t xml:space="preserve"> </w:t>
      </w:r>
      <w:r>
        <w:rPr>
          <w:rFonts w:eastAsia="Cambria"/>
          <w:sz w:val="20"/>
          <w:szCs w:val="20"/>
          <w:lang w:eastAsia="en-GB"/>
        </w:rPr>
        <w:t>scenarios were run specifying the inclusion of purpose-provided ventilation (PPV) (extract fans and trickle vents) to maintain adequate air exchange following airtightening in accordance with current Building Regulation</w:t>
      </w:r>
      <w:r w:rsidR="00866F8A">
        <w:rPr>
          <w:rFonts w:eastAsia="Cambria"/>
          <w:sz w:val="20"/>
          <w:szCs w:val="20"/>
          <w:lang w:eastAsia="en-GB"/>
        </w:rPr>
        <w:t xml:space="preserve"> requirements for new builds</w:t>
      </w:r>
      <w:r>
        <w:rPr>
          <w:rFonts w:eastAsia="Cambria"/>
          <w:sz w:val="20"/>
          <w:szCs w:val="20"/>
          <w:lang w:eastAsia="en-GB"/>
        </w:rPr>
        <w:t xml:space="preserve"> (</w:t>
      </w:r>
      <w:r w:rsidRPr="001A669B">
        <w:rPr>
          <w:rFonts w:eastAsia="Cambria"/>
          <w:sz w:val="20"/>
          <w:szCs w:val="20"/>
          <w:lang w:eastAsia="en-GB"/>
        </w:rPr>
        <w:t>HM Government, 2010</w:t>
      </w:r>
      <w:r>
        <w:rPr>
          <w:rFonts w:eastAsia="Cambria"/>
          <w:sz w:val="20"/>
          <w:szCs w:val="20"/>
          <w:lang w:eastAsia="en-GB"/>
        </w:rPr>
        <w:t xml:space="preserve">). </w:t>
      </w:r>
      <w:r w:rsidRPr="00533ED6">
        <w:rPr>
          <w:rFonts w:eastAsia="HGｺﾞｼｯｸE"/>
          <w:bCs/>
          <w:sz w:val="20"/>
          <w:szCs w:val="20"/>
        </w:rPr>
        <w:t>Given the potential importance that ventilation has on air quality in the home (Bone et al., 2010), additional simulations</w:t>
      </w:r>
      <w:r w:rsidR="00454DA0">
        <w:rPr>
          <w:rFonts w:eastAsia="Cambria"/>
          <w:sz w:val="20"/>
          <w:szCs w:val="20"/>
          <w:lang w:eastAsia="en-GB"/>
        </w:rPr>
        <w:t xml:space="preserve"> without </w:t>
      </w:r>
      <w:r w:rsidR="001A669B">
        <w:rPr>
          <w:rFonts w:eastAsia="Cambria"/>
          <w:sz w:val="20"/>
          <w:szCs w:val="20"/>
          <w:lang w:eastAsia="en-GB"/>
        </w:rPr>
        <w:t xml:space="preserve">PPV </w:t>
      </w:r>
      <w:r>
        <w:rPr>
          <w:rFonts w:eastAsia="Cambria"/>
          <w:sz w:val="20"/>
          <w:szCs w:val="20"/>
          <w:lang w:eastAsia="en-GB"/>
        </w:rPr>
        <w:t>were run</w:t>
      </w:r>
      <w:r w:rsidR="005C18ED">
        <w:rPr>
          <w:rFonts w:eastAsia="Cambria"/>
          <w:sz w:val="20"/>
          <w:szCs w:val="20"/>
          <w:lang w:eastAsia="en-GB"/>
        </w:rPr>
        <w:t xml:space="preserve"> </w:t>
      </w:r>
      <w:r w:rsidR="00454DA0">
        <w:rPr>
          <w:rFonts w:eastAsia="Cambria"/>
          <w:sz w:val="20"/>
          <w:szCs w:val="20"/>
          <w:lang w:eastAsia="en-GB"/>
        </w:rPr>
        <w:t>so as to examine the importance of ventilation characteristics for impacts on CO</w:t>
      </w:r>
      <w:r w:rsidR="00454DA0" w:rsidRPr="00401320">
        <w:rPr>
          <w:rFonts w:eastAsia="Cambria"/>
          <w:sz w:val="20"/>
          <w:szCs w:val="20"/>
          <w:vertAlign w:val="subscript"/>
          <w:lang w:eastAsia="en-GB"/>
        </w:rPr>
        <w:t>2</w:t>
      </w:r>
      <w:r w:rsidR="00454DA0">
        <w:rPr>
          <w:rFonts w:eastAsia="Cambria"/>
          <w:sz w:val="20"/>
          <w:szCs w:val="20"/>
          <w:lang w:eastAsia="en-GB"/>
        </w:rPr>
        <w:t xml:space="preserve"> emissions and health.</w:t>
      </w:r>
    </w:p>
    <w:p w14:paraId="40EA0A6A" w14:textId="445B2016" w:rsidR="00F85CE3" w:rsidRDefault="00F85CE3" w:rsidP="006240A8">
      <w:pPr>
        <w:spacing w:after="0" w:line="480" w:lineRule="auto"/>
        <w:divId w:val="434059591"/>
        <w:rPr>
          <w:i/>
          <w:sz w:val="20"/>
        </w:rPr>
      </w:pPr>
    </w:p>
    <w:p w14:paraId="3DB6CE64" w14:textId="612AA026" w:rsidR="00565A35" w:rsidRPr="00D35F39" w:rsidRDefault="005177EA" w:rsidP="006240A8">
      <w:pPr>
        <w:spacing w:after="0" w:line="480" w:lineRule="auto"/>
        <w:divId w:val="434059591"/>
        <w:rPr>
          <w:rFonts w:eastAsia="HGｺﾞｼｯｸE"/>
          <w:bCs/>
          <w:i/>
          <w:sz w:val="20"/>
          <w:szCs w:val="20"/>
        </w:rPr>
      </w:pPr>
      <w:r w:rsidRPr="003D4317">
        <w:rPr>
          <w:i/>
          <w:sz w:val="20"/>
        </w:rPr>
        <w:t>2.</w:t>
      </w:r>
      <w:r w:rsidR="00F85CE3">
        <w:rPr>
          <w:i/>
          <w:sz w:val="20"/>
        </w:rPr>
        <w:t>2</w:t>
      </w:r>
      <w:r w:rsidRPr="00D35F39">
        <w:rPr>
          <w:rFonts w:eastAsia="HGｺﾞｼｯｸE"/>
          <w:bCs/>
          <w:i/>
          <w:sz w:val="20"/>
          <w:szCs w:val="20"/>
        </w:rPr>
        <w:t xml:space="preserve"> </w:t>
      </w:r>
      <w:r w:rsidR="008B60F6" w:rsidRPr="008B60F6">
        <w:rPr>
          <w:rFonts w:eastAsia="HGｺﾞｼｯｸE"/>
          <w:bCs/>
          <w:i/>
          <w:sz w:val="20"/>
          <w:szCs w:val="20"/>
        </w:rPr>
        <w:t xml:space="preserve">Modelling the </w:t>
      </w:r>
      <w:r w:rsidR="00B22208">
        <w:rPr>
          <w:rFonts w:eastAsia="HGｺﾞｼｯｸE"/>
          <w:bCs/>
          <w:i/>
          <w:sz w:val="20"/>
          <w:szCs w:val="20"/>
        </w:rPr>
        <w:t>S</w:t>
      </w:r>
      <w:r w:rsidR="008B60F6" w:rsidRPr="008B60F6">
        <w:rPr>
          <w:rFonts w:eastAsia="HGｺﾞｼｯｸE"/>
          <w:bCs/>
          <w:i/>
          <w:sz w:val="20"/>
          <w:szCs w:val="20"/>
        </w:rPr>
        <w:t xml:space="preserve">cenario </w:t>
      </w:r>
      <w:r w:rsidR="00B22208">
        <w:rPr>
          <w:rFonts w:eastAsia="HGｺﾞｼｯｸE"/>
          <w:bCs/>
          <w:i/>
          <w:sz w:val="20"/>
          <w:szCs w:val="20"/>
        </w:rPr>
        <w:t>I</w:t>
      </w:r>
      <w:r w:rsidR="008B60F6" w:rsidRPr="008B60F6">
        <w:rPr>
          <w:rFonts w:eastAsia="HGｺﾞｼｯｸE"/>
          <w:bCs/>
          <w:i/>
          <w:sz w:val="20"/>
          <w:szCs w:val="20"/>
        </w:rPr>
        <w:t xml:space="preserve">mpacts: the SCRIBE </w:t>
      </w:r>
      <w:r w:rsidR="00B22208">
        <w:rPr>
          <w:rFonts w:eastAsia="HGｺﾞｼｯｸE"/>
          <w:bCs/>
          <w:i/>
          <w:sz w:val="20"/>
          <w:szCs w:val="20"/>
        </w:rPr>
        <w:t>M</w:t>
      </w:r>
      <w:r w:rsidR="008B60F6" w:rsidRPr="008B60F6">
        <w:rPr>
          <w:rFonts w:eastAsia="HGｺﾞｼｯｸE"/>
          <w:bCs/>
          <w:i/>
          <w:sz w:val="20"/>
          <w:szCs w:val="20"/>
        </w:rPr>
        <w:t>odel</w:t>
      </w:r>
    </w:p>
    <w:p w14:paraId="0026CC65" w14:textId="00B3407A" w:rsidR="002325B0" w:rsidRPr="00357890" w:rsidRDefault="008B60F6" w:rsidP="00660FB6">
      <w:pPr>
        <w:spacing w:after="0" w:line="480" w:lineRule="auto"/>
        <w:divId w:val="434059591"/>
        <w:rPr>
          <w:color w:val="000000" w:themeColor="text1"/>
          <w:sz w:val="20"/>
          <w:szCs w:val="20"/>
        </w:rPr>
      </w:pPr>
      <w:r w:rsidRPr="008B60F6">
        <w:rPr>
          <w:rFonts w:eastAsia="HGｺﾞｼｯｸE"/>
          <w:bCs/>
          <w:sz w:val="20"/>
          <w:szCs w:val="20"/>
        </w:rPr>
        <w:t xml:space="preserve">Modelling of scenario impacts was carried out using a UK housing stock computer model known as SCRIBE (Strategies for Carbon Reduction In the Built Environment),  developed by University College London (UCL) and </w:t>
      </w:r>
      <w:r w:rsidR="007A13AC">
        <w:rPr>
          <w:rFonts w:eastAsia="HGｺﾞｼｯｸE"/>
          <w:bCs/>
          <w:sz w:val="20"/>
          <w:szCs w:val="20"/>
        </w:rPr>
        <w:t xml:space="preserve">the </w:t>
      </w:r>
      <w:r w:rsidRPr="008B60F6">
        <w:rPr>
          <w:rFonts w:eastAsia="HGｺﾞｼｯｸE"/>
          <w:bCs/>
          <w:sz w:val="20"/>
          <w:szCs w:val="20"/>
        </w:rPr>
        <w:t>London School of Hygiene and Tropical Medicine (LSHTM) (Hamilton et al, 2015). SCRIBE incorporates (i) a building physics module that enables estimation of energy use, indoor environmental conditions (</w:t>
      </w:r>
      <w:r w:rsidR="006B16B3">
        <w:rPr>
          <w:rFonts w:eastAsia="HGｺﾞｼｯｸE"/>
          <w:bCs/>
          <w:sz w:val="20"/>
          <w:szCs w:val="20"/>
        </w:rPr>
        <w:t xml:space="preserve">winter </w:t>
      </w:r>
      <w:r w:rsidRPr="008B60F6">
        <w:rPr>
          <w:rFonts w:eastAsia="HGｺﾞｼｯｸE"/>
          <w:bCs/>
          <w:sz w:val="20"/>
          <w:szCs w:val="20"/>
        </w:rPr>
        <w:t xml:space="preserve">temperatures and </w:t>
      </w:r>
      <w:r w:rsidR="006B16B3">
        <w:rPr>
          <w:rFonts w:eastAsia="HGｺﾞｼｯｸE"/>
          <w:bCs/>
          <w:sz w:val="20"/>
          <w:szCs w:val="20"/>
        </w:rPr>
        <w:t xml:space="preserve">annual </w:t>
      </w:r>
      <w:r w:rsidRPr="008B60F6">
        <w:rPr>
          <w:rFonts w:eastAsia="HGｺﾞｼｯｸE"/>
          <w:bCs/>
          <w:sz w:val="20"/>
          <w:szCs w:val="20"/>
        </w:rPr>
        <w:t xml:space="preserve">pollutant concentrations) and </w:t>
      </w:r>
      <w:r w:rsidR="004C0B5A">
        <w:rPr>
          <w:rFonts w:eastAsia="HGｺﾞｼｯｸE"/>
          <w:bCs/>
          <w:sz w:val="20"/>
          <w:szCs w:val="20"/>
        </w:rPr>
        <w:t xml:space="preserve">mean </w:t>
      </w:r>
      <w:r w:rsidRPr="008B60F6">
        <w:rPr>
          <w:rFonts w:eastAsia="HGｺﾞｼｯｸE"/>
          <w:bCs/>
          <w:sz w:val="20"/>
          <w:szCs w:val="20"/>
        </w:rPr>
        <w:t>CO</w:t>
      </w:r>
      <w:r w:rsidRPr="00B64654">
        <w:rPr>
          <w:rFonts w:eastAsia="HGｺﾞｼｯｸE"/>
          <w:bCs/>
          <w:sz w:val="20"/>
          <w:szCs w:val="20"/>
          <w:vertAlign w:val="subscript"/>
        </w:rPr>
        <w:t>2</w:t>
      </w:r>
      <w:r w:rsidRPr="008B60F6">
        <w:rPr>
          <w:rFonts w:eastAsia="HGｺﾞｼｯｸE"/>
          <w:bCs/>
          <w:sz w:val="20"/>
          <w:szCs w:val="20"/>
        </w:rPr>
        <w:t xml:space="preserve"> emissions under a range of housing interventions and projected changes in grid carbon intensities, and (ii) a model of health impacts associated with indoor environmental conditions</w:t>
      </w:r>
      <w:r w:rsidR="00805DE6" w:rsidRPr="00D35F39">
        <w:rPr>
          <w:rFonts w:eastAsia="HGｺﾞｼｯｸE"/>
          <w:bCs/>
          <w:sz w:val="20"/>
          <w:szCs w:val="20"/>
        </w:rPr>
        <w:t xml:space="preserve">. </w:t>
      </w:r>
      <w:r w:rsidR="00B56B9B">
        <w:rPr>
          <w:rFonts w:eastAsia="HGｺﾞｼｯｸE"/>
          <w:bCs/>
          <w:sz w:val="20"/>
          <w:szCs w:val="20"/>
        </w:rPr>
        <w:t>M</w:t>
      </w:r>
      <w:r w:rsidR="00925682">
        <w:rPr>
          <w:rFonts w:eastAsia="HGｺﾞｼｯｸE"/>
          <w:bCs/>
          <w:sz w:val="20"/>
          <w:szCs w:val="20"/>
        </w:rPr>
        <w:t xml:space="preserve">odelled </w:t>
      </w:r>
      <w:r w:rsidR="004C0B5A">
        <w:rPr>
          <w:rFonts w:eastAsia="HGｺﾞｼｯｸE"/>
          <w:bCs/>
          <w:sz w:val="20"/>
          <w:szCs w:val="20"/>
        </w:rPr>
        <w:t xml:space="preserve">mean </w:t>
      </w:r>
      <w:r w:rsidR="00DF5569" w:rsidRPr="00D35F39">
        <w:rPr>
          <w:rFonts w:eastAsia="HGｺﾞｼｯｸE"/>
          <w:bCs/>
          <w:sz w:val="20"/>
          <w:szCs w:val="20"/>
        </w:rPr>
        <w:t>CO</w:t>
      </w:r>
      <w:r w:rsidR="00DF5569" w:rsidRPr="00D35F39">
        <w:rPr>
          <w:rFonts w:eastAsia="HGｺﾞｼｯｸE"/>
          <w:bCs/>
          <w:sz w:val="20"/>
          <w:szCs w:val="20"/>
          <w:vertAlign w:val="subscript"/>
        </w:rPr>
        <w:t>2</w:t>
      </w:r>
      <w:r w:rsidR="00DF5569" w:rsidRPr="00D35F39">
        <w:rPr>
          <w:rFonts w:eastAsia="HGｺﾞｼｯｸE"/>
          <w:bCs/>
          <w:sz w:val="20"/>
          <w:szCs w:val="20"/>
        </w:rPr>
        <w:t xml:space="preserve"> </w:t>
      </w:r>
      <w:r w:rsidR="00805DE6" w:rsidRPr="00D35F39">
        <w:rPr>
          <w:rFonts w:eastAsia="HGｺﾞｼｯｸE"/>
          <w:bCs/>
          <w:sz w:val="20"/>
          <w:szCs w:val="20"/>
        </w:rPr>
        <w:t xml:space="preserve">emission reductions </w:t>
      </w:r>
      <w:r w:rsidR="00447CB3" w:rsidRPr="00D35F39">
        <w:rPr>
          <w:rFonts w:eastAsia="HGｺﾞｼｯｸE"/>
          <w:bCs/>
          <w:sz w:val="20"/>
          <w:szCs w:val="20"/>
        </w:rPr>
        <w:t xml:space="preserve">are </w:t>
      </w:r>
      <w:r w:rsidR="009D3831" w:rsidRPr="00D35F39">
        <w:rPr>
          <w:rFonts w:eastAsia="HGｺﾞｼｯｸE"/>
          <w:bCs/>
          <w:sz w:val="20"/>
          <w:szCs w:val="20"/>
        </w:rPr>
        <w:t xml:space="preserve">compared </w:t>
      </w:r>
      <w:r w:rsidR="00D43613" w:rsidRPr="00D35F39">
        <w:rPr>
          <w:rFonts w:eastAsia="HGｺﾞｼｯｸE"/>
          <w:bCs/>
          <w:sz w:val="20"/>
          <w:szCs w:val="20"/>
        </w:rPr>
        <w:t xml:space="preserve">to </w:t>
      </w:r>
      <w:r w:rsidR="00925682">
        <w:rPr>
          <w:rFonts w:eastAsia="HGｺﾞｼｯｸE"/>
          <w:bCs/>
          <w:sz w:val="20"/>
          <w:szCs w:val="20"/>
        </w:rPr>
        <w:t>emission levels</w:t>
      </w:r>
      <w:r w:rsidR="00D43613" w:rsidRPr="00D35F39">
        <w:rPr>
          <w:rFonts w:eastAsia="HGｺﾞｼｯｸE"/>
          <w:bCs/>
          <w:sz w:val="20"/>
          <w:szCs w:val="20"/>
        </w:rPr>
        <w:t xml:space="preserve"> required to </w:t>
      </w:r>
      <w:r w:rsidR="00925682">
        <w:rPr>
          <w:rFonts w:eastAsia="HGｺﾞｼｯｸE"/>
          <w:bCs/>
          <w:sz w:val="20"/>
          <w:szCs w:val="20"/>
        </w:rPr>
        <w:t xml:space="preserve">meet </w:t>
      </w:r>
      <w:r w:rsidR="00805DE6" w:rsidRPr="00D35F39">
        <w:rPr>
          <w:rFonts w:eastAsia="HGｺﾞｼｯｸE"/>
          <w:bCs/>
          <w:sz w:val="20"/>
          <w:szCs w:val="20"/>
        </w:rPr>
        <w:t xml:space="preserve">targets set in the Climate </w:t>
      </w:r>
      <w:r w:rsidR="0087718F" w:rsidRPr="00D35F39">
        <w:rPr>
          <w:rFonts w:eastAsia="HGｺﾞｼｯｸE"/>
          <w:bCs/>
          <w:sz w:val="20"/>
          <w:szCs w:val="20"/>
        </w:rPr>
        <w:t>C</w:t>
      </w:r>
      <w:r w:rsidR="00805DE6" w:rsidRPr="00D35F39">
        <w:rPr>
          <w:rFonts w:eastAsia="HGｺﾞｼｯｸE"/>
          <w:bCs/>
          <w:sz w:val="20"/>
          <w:szCs w:val="20"/>
        </w:rPr>
        <w:t>hange Act 2008</w:t>
      </w:r>
      <w:r w:rsidR="009D3831" w:rsidRPr="00D35F39">
        <w:rPr>
          <w:rFonts w:eastAsia="HGｺﾞｼｯｸE"/>
          <w:bCs/>
          <w:sz w:val="20"/>
          <w:szCs w:val="20"/>
        </w:rPr>
        <w:t>, from a</w:t>
      </w:r>
      <w:r w:rsidR="00B724F4" w:rsidRPr="00D35F39">
        <w:rPr>
          <w:rFonts w:eastAsia="HGｺﾞｼｯｸE"/>
          <w:bCs/>
          <w:sz w:val="20"/>
          <w:szCs w:val="20"/>
        </w:rPr>
        <w:t xml:space="preserve"> base line of 2010</w:t>
      </w:r>
      <w:r w:rsidR="00A8224E">
        <w:rPr>
          <w:rFonts w:eastAsia="HGｺﾞｼｯｸE"/>
          <w:bCs/>
          <w:sz w:val="20"/>
          <w:szCs w:val="20"/>
        </w:rPr>
        <w:t>, rather than 1990</w:t>
      </w:r>
      <w:r w:rsidR="009D3831" w:rsidRPr="00D35F39">
        <w:rPr>
          <w:rFonts w:eastAsia="HGｺﾞｼｯｸE"/>
          <w:bCs/>
          <w:sz w:val="20"/>
          <w:szCs w:val="20"/>
        </w:rPr>
        <w:t xml:space="preserve"> </w:t>
      </w:r>
      <w:r w:rsidR="00B439CD">
        <w:rPr>
          <w:rFonts w:eastAsia="HGｺﾞｼｯｸE"/>
          <w:bCs/>
          <w:sz w:val="20"/>
          <w:szCs w:val="20"/>
        </w:rPr>
        <w:t>(HM Government, 2008</w:t>
      </w:r>
      <w:r w:rsidR="00B439CD" w:rsidRPr="00D35F39">
        <w:rPr>
          <w:rFonts w:eastAsia="HGｺﾞｼｯｸE"/>
          <w:bCs/>
          <w:sz w:val="20"/>
          <w:szCs w:val="20"/>
        </w:rPr>
        <w:t xml:space="preserve">). </w:t>
      </w:r>
      <w:r w:rsidR="00925682">
        <w:rPr>
          <w:rFonts w:eastAsia="HGｺﾞｼｯｸE"/>
          <w:bCs/>
          <w:sz w:val="20"/>
          <w:szCs w:val="20"/>
        </w:rPr>
        <w:t xml:space="preserve">The baseline of 2010 is </w:t>
      </w:r>
      <w:r w:rsidR="005A378A">
        <w:rPr>
          <w:rFonts w:eastAsia="HGｺﾞｼｯｸE"/>
          <w:bCs/>
          <w:sz w:val="20"/>
          <w:szCs w:val="20"/>
        </w:rPr>
        <w:t xml:space="preserve">used </w:t>
      </w:r>
      <w:r w:rsidR="00925682">
        <w:rPr>
          <w:rFonts w:eastAsia="HGｺﾞｼｯｸE"/>
          <w:bCs/>
          <w:sz w:val="20"/>
          <w:szCs w:val="20"/>
        </w:rPr>
        <w:t xml:space="preserve">due </w:t>
      </w:r>
      <w:r w:rsidR="00F770A2">
        <w:rPr>
          <w:rFonts w:eastAsia="HGｺﾞｼｯｸE"/>
          <w:bCs/>
          <w:sz w:val="20"/>
          <w:szCs w:val="20"/>
        </w:rPr>
        <w:t>to</w:t>
      </w:r>
      <w:r w:rsidR="00925682">
        <w:rPr>
          <w:rFonts w:eastAsia="HGｺﾞｼｯｸE"/>
          <w:bCs/>
          <w:sz w:val="20"/>
          <w:szCs w:val="20"/>
        </w:rPr>
        <w:t xml:space="preserve"> limitations in data </w:t>
      </w:r>
      <w:r w:rsidR="00F770A2">
        <w:rPr>
          <w:rFonts w:eastAsia="HGｺﾞｼｯｸE"/>
          <w:bCs/>
          <w:sz w:val="20"/>
          <w:szCs w:val="20"/>
        </w:rPr>
        <w:t>availability</w:t>
      </w:r>
      <w:r w:rsidR="00925682">
        <w:rPr>
          <w:rFonts w:eastAsia="HGｺﾞｼｯｸE"/>
          <w:bCs/>
          <w:sz w:val="20"/>
          <w:szCs w:val="20"/>
        </w:rPr>
        <w:t xml:space="preserve"> for some SCRIBE inputs</w:t>
      </w:r>
      <w:r w:rsidR="005A378A">
        <w:rPr>
          <w:rFonts w:eastAsia="HGｺﾞｼｯｸE"/>
          <w:bCs/>
          <w:sz w:val="20"/>
          <w:szCs w:val="20"/>
        </w:rPr>
        <w:t>,</w:t>
      </w:r>
      <w:r w:rsidR="00A8224E">
        <w:rPr>
          <w:rFonts w:eastAsia="HGｺﾞｼｯｸE"/>
          <w:bCs/>
          <w:sz w:val="20"/>
          <w:szCs w:val="20"/>
        </w:rPr>
        <w:t xml:space="preserve"> </w:t>
      </w:r>
      <w:r w:rsidR="007923A5">
        <w:rPr>
          <w:rFonts w:eastAsia="HGｺﾞｼｯｸE"/>
          <w:bCs/>
          <w:sz w:val="20"/>
          <w:szCs w:val="20"/>
        </w:rPr>
        <w:t>particularly</w:t>
      </w:r>
      <w:r w:rsidR="00A8224E">
        <w:rPr>
          <w:rFonts w:eastAsia="HGｺﾞｼｯｸE"/>
          <w:bCs/>
          <w:sz w:val="20"/>
          <w:szCs w:val="20"/>
        </w:rPr>
        <w:t xml:space="preserve"> building/intervention data for Milton Keynes prior to this date</w:t>
      </w:r>
      <w:r w:rsidR="00B47E65">
        <w:rPr>
          <w:rFonts w:eastAsia="HGｺﾞｼｯｸE"/>
          <w:bCs/>
          <w:sz w:val="20"/>
          <w:szCs w:val="20"/>
        </w:rPr>
        <w:t xml:space="preserve">. </w:t>
      </w:r>
      <w:r w:rsidR="00B439CD" w:rsidRPr="00D35F39">
        <w:rPr>
          <w:rFonts w:eastAsia="HGｺﾞｼｯｸE"/>
          <w:bCs/>
          <w:sz w:val="20"/>
          <w:szCs w:val="20"/>
        </w:rPr>
        <w:t>Consequently, CO</w:t>
      </w:r>
      <w:r w:rsidR="00B439CD" w:rsidRPr="00D35F39">
        <w:rPr>
          <w:rFonts w:eastAsia="HGｺﾞｼｯｸE"/>
          <w:bCs/>
          <w:sz w:val="20"/>
          <w:szCs w:val="20"/>
          <w:vertAlign w:val="subscript"/>
        </w:rPr>
        <w:t>2</w:t>
      </w:r>
      <w:r w:rsidR="00B439CD" w:rsidRPr="00D35F39">
        <w:rPr>
          <w:rFonts w:eastAsia="HGｺﾞｼｯｸE"/>
          <w:bCs/>
          <w:sz w:val="20"/>
          <w:szCs w:val="20"/>
        </w:rPr>
        <w:t xml:space="preserve"> emission reductions targets are adjusted as follows</w:t>
      </w:r>
      <w:r w:rsidR="009D3831" w:rsidRPr="00D35F39">
        <w:rPr>
          <w:rFonts w:eastAsia="HGｺﾞｼｯｸE"/>
          <w:bCs/>
          <w:sz w:val="20"/>
          <w:szCs w:val="20"/>
        </w:rPr>
        <w:t xml:space="preserve">: for 2020-43%, for 2030-57% and </w:t>
      </w:r>
      <w:r w:rsidR="00697FAB" w:rsidRPr="00D35F39">
        <w:rPr>
          <w:rFonts w:eastAsia="HGｺﾞｼｯｸE"/>
          <w:bCs/>
          <w:sz w:val="20"/>
          <w:szCs w:val="20"/>
        </w:rPr>
        <w:t xml:space="preserve">for </w:t>
      </w:r>
      <w:r w:rsidR="009D3831" w:rsidRPr="00D35F39">
        <w:rPr>
          <w:rFonts w:eastAsia="HGｺﾞｼｯｸE"/>
          <w:bCs/>
          <w:sz w:val="20"/>
          <w:szCs w:val="20"/>
        </w:rPr>
        <w:t>2050-75%</w:t>
      </w:r>
      <w:r w:rsidR="00C1772A" w:rsidRPr="00D35F39">
        <w:rPr>
          <w:rFonts w:eastAsia="HGｺﾞｼｯｸE"/>
          <w:bCs/>
          <w:sz w:val="20"/>
          <w:szCs w:val="20"/>
        </w:rPr>
        <w:t>, all</w:t>
      </w:r>
      <w:r w:rsidR="00151D02" w:rsidRPr="00D35F39">
        <w:rPr>
          <w:rFonts w:eastAsia="HGｺﾞｼｯｸE"/>
          <w:bCs/>
          <w:sz w:val="20"/>
          <w:szCs w:val="20"/>
        </w:rPr>
        <w:t xml:space="preserve"> </w:t>
      </w:r>
      <w:r w:rsidR="00697FAB" w:rsidRPr="00D35F39">
        <w:rPr>
          <w:rFonts w:eastAsia="HGｺﾞｼｯｸE"/>
          <w:bCs/>
          <w:sz w:val="20"/>
          <w:szCs w:val="20"/>
        </w:rPr>
        <w:t xml:space="preserve">relative to </w:t>
      </w:r>
      <w:r w:rsidR="009D3831" w:rsidRPr="00D35F39">
        <w:rPr>
          <w:rFonts w:eastAsia="HGｺﾞｼｯｸE"/>
          <w:bCs/>
          <w:sz w:val="20"/>
          <w:szCs w:val="20"/>
        </w:rPr>
        <w:t>2010</w:t>
      </w:r>
      <w:r w:rsidR="0060460D">
        <w:rPr>
          <w:rFonts w:eastAsia="HGｺﾞｼｯｸE"/>
          <w:bCs/>
          <w:sz w:val="20"/>
          <w:szCs w:val="20"/>
        </w:rPr>
        <w:t xml:space="preserve"> instead of 1990.</w:t>
      </w:r>
      <w:r w:rsidR="00B47E65" w:rsidRPr="00B47E65">
        <w:rPr>
          <w:rFonts w:eastAsia="HGｺﾞｼｯｸE"/>
          <w:bCs/>
          <w:sz w:val="20"/>
          <w:szCs w:val="20"/>
        </w:rPr>
        <w:t xml:space="preserve"> </w:t>
      </w:r>
      <w:r w:rsidR="00B47E65">
        <w:rPr>
          <w:rFonts w:eastAsia="HGｺﾞｼｯｸE"/>
          <w:bCs/>
          <w:sz w:val="20"/>
          <w:szCs w:val="20"/>
        </w:rPr>
        <w:t xml:space="preserve">This adjustment has no impact on the </w:t>
      </w:r>
      <w:r w:rsidR="00B56B9B">
        <w:rPr>
          <w:rFonts w:eastAsia="HGｺﾞｼｯｸE"/>
          <w:bCs/>
          <w:sz w:val="20"/>
          <w:szCs w:val="20"/>
        </w:rPr>
        <w:t xml:space="preserve">2050 </w:t>
      </w:r>
      <w:r w:rsidR="00B47E65">
        <w:rPr>
          <w:rFonts w:eastAsia="HGｺﾞｼｯｸE"/>
          <w:bCs/>
          <w:sz w:val="20"/>
          <w:szCs w:val="20"/>
        </w:rPr>
        <w:t>results.</w:t>
      </w:r>
      <w:r w:rsidR="00660FB6" w:rsidRPr="00660FB6">
        <w:t xml:space="preserve"> </w:t>
      </w:r>
      <w:r w:rsidR="00357890" w:rsidRPr="00357890">
        <w:rPr>
          <w:color w:val="000000" w:themeColor="text1"/>
          <w:sz w:val="20"/>
          <w:szCs w:val="20"/>
        </w:rPr>
        <w:t>Details of the SCRIBE model and the inputs used in the various components are outlined in Figure1.</w:t>
      </w:r>
    </w:p>
    <w:p w14:paraId="4B4BD51F" w14:textId="77777777" w:rsidR="00357890" w:rsidRDefault="00357890" w:rsidP="00660FB6">
      <w:pPr>
        <w:spacing w:after="0" w:line="480" w:lineRule="auto"/>
        <w:divId w:val="434059591"/>
        <w:rPr>
          <w:rFonts w:eastAsia="HGｺﾞｼｯｸE"/>
          <w:b/>
          <w:bCs/>
          <w:sz w:val="20"/>
          <w:szCs w:val="20"/>
        </w:rPr>
      </w:pPr>
    </w:p>
    <w:p w14:paraId="2918B6A9" w14:textId="79A91F99" w:rsidR="006240A8" w:rsidRPr="00660FB6" w:rsidRDefault="00660FB6" w:rsidP="00660FB6">
      <w:pPr>
        <w:spacing w:after="0" w:line="480" w:lineRule="auto"/>
        <w:divId w:val="434059591"/>
        <w:rPr>
          <w:rFonts w:eastAsia="HGｺﾞｼｯｸE"/>
          <w:b/>
          <w:bCs/>
          <w:sz w:val="20"/>
          <w:szCs w:val="20"/>
        </w:rPr>
      </w:pPr>
      <w:r w:rsidRPr="00660FB6">
        <w:rPr>
          <w:rFonts w:eastAsia="HGｺﾞｼｯｸE"/>
          <w:b/>
          <w:bCs/>
          <w:sz w:val="20"/>
          <w:szCs w:val="20"/>
        </w:rPr>
        <w:t>Figure 1</w:t>
      </w:r>
    </w:p>
    <w:p w14:paraId="09CB667D" w14:textId="77777777" w:rsidR="004E0C9B" w:rsidRPr="00D35F39" w:rsidRDefault="004E0C9B" w:rsidP="00E20DD8">
      <w:pPr>
        <w:overflowPunct w:val="0"/>
        <w:autoSpaceDE w:val="0"/>
        <w:autoSpaceDN w:val="0"/>
        <w:adjustRightInd w:val="0"/>
        <w:spacing w:after="0"/>
        <w:divId w:val="434059591"/>
        <w:rPr>
          <w:rFonts w:eastAsia="HGｺﾞｼｯｸE"/>
          <w:bCs/>
          <w:i/>
          <w:sz w:val="20"/>
          <w:szCs w:val="20"/>
        </w:rPr>
      </w:pPr>
    </w:p>
    <w:p w14:paraId="5B276EB9" w14:textId="2C5B1227" w:rsidR="007B3D0E" w:rsidRPr="00D35F39" w:rsidRDefault="00AA716D" w:rsidP="004E3EE9">
      <w:pPr>
        <w:overflowPunct w:val="0"/>
        <w:autoSpaceDE w:val="0"/>
        <w:autoSpaceDN w:val="0"/>
        <w:adjustRightInd w:val="0"/>
        <w:spacing w:after="0" w:line="480" w:lineRule="auto"/>
        <w:divId w:val="434059591"/>
        <w:rPr>
          <w:rFonts w:eastAsia="Times New Roman"/>
          <w:i/>
          <w:color w:val="000000" w:themeColor="text1"/>
          <w:sz w:val="20"/>
          <w:szCs w:val="20"/>
          <w:lang w:eastAsia="en-GB"/>
        </w:rPr>
      </w:pPr>
      <w:r w:rsidRPr="00D35F39">
        <w:rPr>
          <w:rFonts w:eastAsia="Times New Roman"/>
          <w:i/>
          <w:color w:val="000000" w:themeColor="text1"/>
          <w:sz w:val="20"/>
          <w:szCs w:val="20"/>
          <w:lang w:eastAsia="en-GB"/>
        </w:rPr>
        <w:t>2.</w:t>
      </w:r>
      <w:r w:rsidR="005177EA" w:rsidRPr="00D35F39">
        <w:rPr>
          <w:rFonts w:eastAsia="Times New Roman"/>
          <w:i/>
          <w:color w:val="000000" w:themeColor="text1"/>
          <w:sz w:val="20"/>
          <w:szCs w:val="20"/>
          <w:lang w:eastAsia="en-GB"/>
        </w:rPr>
        <w:t>3</w:t>
      </w:r>
      <w:r w:rsidRPr="00D35F39">
        <w:rPr>
          <w:rFonts w:eastAsia="Times New Roman"/>
          <w:i/>
          <w:color w:val="000000" w:themeColor="text1"/>
          <w:sz w:val="20"/>
          <w:szCs w:val="20"/>
          <w:lang w:eastAsia="en-GB"/>
        </w:rPr>
        <w:t xml:space="preserve">. </w:t>
      </w:r>
      <w:r w:rsidR="00B22208">
        <w:rPr>
          <w:rFonts w:eastAsia="Times New Roman"/>
          <w:i/>
          <w:color w:val="000000" w:themeColor="text1"/>
          <w:sz w:val="20"/>
          <w:szCs w:val="20"/>
          <w:lang w:eastAsia="en-GB"/>
        </w:rPr>
        <w:t>Modelling Indoor Air Quality</w:t>
      </w:r>
    </w:p>
    <w:p w14:paraId="72BB32FE" w14:textId="770CB5A7" w:rsidR="00B22208" w:rsidRDefault="005A378A" w:rsidP="00B22208">
      <w:pPr>
        <w:spacing w:after="0" w:line="480" w:lineRule="auto"/>
        <w:contextualSpacing/>
        <w:jc w:val="left"/>
        <w:divId w:val="434059591"/>
        <w:rPr>
          <w:bCs/>
          <w:i/>
          <w:color w:val="000000" w:themeColor="text1"/>
          <w:sz w:val="20"/>
          <w:szCs w:val="20"/>
        </w:rPr>
      </w:pPr>
      <w:r>
        <w:rPr>
          <w:color w:val="000000" w:themeColor="text1"/>
          <w:sz w:val="20"/>
          <w:szCs w:val="20"/>
        </w:rPr>
        <w:t>Within the SCRIBE tool outputs are produced u</w:t>
      </w:r>
      <w:r w:rsidR="00E54E59" w:rsidRPr="00D35F39">
        <w:rPr>
          <w:color w:val="000000" w:themeColor="text1"/>
          <w:sz w:val="20"/>
          <w:szCs w:val="20"/>
        </w:rPr>
        <w:t>sing CONTAM, a</w:t>
      </w:r>
      <w:r w:rsidR="00E0678F" w:rsidRPr="00D35F39">
        <w:rPr>
          <w:sz w:val="20"/>
          <w:szCs w:val="20"/>
        </w:rPr>
        <w:t xml:space="preserve"> </w:t>
      </w:r>
      <w:r w:rsidR="00E0678F" w:rsidRPr="00D35F39">
        <w:rPr>
          <w:color w:val="000000" w:themeColor="text1"/>
          <w:sz w:val="20"/>
          <w:szCs w:val="20"/>
        </w:rPr>
        <w:t xml:space="preserve">validated airflow and pollutant transport </w:t>
      </w:r>
      <w:r w:rsidR="00E54E59" w:rsidRPr="00D35F39">
        <w:rPr>
          <w:color w:val="000000" w:themeColor="text1"/>
          <w:sz w:val="20"/>
          <w:szCs w:val="20"/>
        </w:rPr>
        <w:t xml:space="preserve">building physics </w:t>
      </w:r>
      <w:r w:rsidR="00E0678F" w:rsidRPr="00D35F39">
        <w:rPr>
          <w:color w:val="000000" w:themeColor="text1"/>
          <w:sz w:val="20"/>
          <w:szCs w:val="20"/>
        </w:rPr>
        <w:t>tool</w:t>
      </w:r>
      <w:r w:rsidR="00E54E59" w:rsidRPr="00D35F39">
        <w:rPr>
          <w:color w:val="000000" w:themeColor="text1"/>
          <w:sz w:val="20"/>
          <w:szCs w:val="20"/>
        </w:rPr>
        <w:t xml:space="preserve"> (Emmerich, 2001</w:t>
      </w:r>
      <w:r w:rsidR="00E54E59" w:rsidRPr="00D35F39">
        <w:rPr>
          <w:rFonts w:eastAsia="Times New Roman"/>
          <w:bCs/>
          <w:color w:val="000000" w:themeColor="text1"/>
          <w:sz w:val="20"/>
          <w:szCs w:val="20"/>
          <w:lang w:eastAsia="en-GB"/>
        </w:rPr>
        <w:t>)</w:t>
      </w:r>
      <w:r>
        <w:rPr>
          <w:rFonts w:eastAsia="Times New Roman"/>
          <w:bCs/>
          <w:color w:val="000000" w:themeColor="text1"/>
          <w:sz w:val="20"/>
          <w:szCs w:val="20"/>
          <w:lang w:eastAsia="en-GB"/>
        </w:rPr>
        <w:t>.</w:t>
      </w:r>
      <w:r w:rsidR="00E54E59" w:rsidRPr="00D35F39">
        <w:rPr>
          <w:color w:val="000000" w:themeColor="text1"/>
          <w:sz w:val="20"/>
          <w:szCs w:val="20"/>
        </w:rPr>
        <w:t xml:space="preserve"> </w:t>
      </w:r>
      <w:r>
        <w:rPr>
          <w:color w:val="000000" w:themeColor="text1"/>
          <w:sz w:val="20"/>
          <w:szCs w:val="20"/>
        </w:rPr>
        <w:t>G</w:t>
      </w:r>
      <w:r w:rsidR="00E54E59" w:rsidRPr="00D35F39">
        <w:rPr>
          <w:color w:val="000000" w:themeColor="text1"/>
          <w:sz w:val="20"/>
          <w:szCs w:val="20"/>
        </w:rPr>
        <w:t xml:space="preserve">eometries representative of the London and Milton Keynes </w:t>
      </w:r>
      <w:r w:rsidR="00E61E81">
        <w:rPr>
          <w:rFonts w:eastAsia="Times New Roman"/>
          <w:bCs/>
          <w:color w:val="000000" w:themeColor="text1"/>
          <w:sz w:val="20"/>
          <w:szCs w:val="20"/>
          <w:lang w:eastAsia="en-GB"/>
        </w:rPr>
        <w:t>housing</w:t>
      </w:r>
      <w:r w:rsidR="00E61E81" w:rsidRPr="00D35F39">
        <w:rPr>
          <w:rFonts w:eastAsia="Times New Roman"/>
          <w:bCs/>
          <w:color w:val="000000" w:themeColor="text1"/>
          <w:sz w:val="20"/>
          <w:szCs w:val="20"/>
          <w:lang w:eastAsia="en-GB"/>
        </w:rPr>
        <w:t xml:space="preserve"> </w:t>
      </w:r>
      <w:r w:rsidR="001B03F2" w:rsidRPr="00D35F39">
        <w:rPr>
          <w:color w:val="000000" w:themeColor="text1"/>
          <w:sz w:val="20"/>
          <w:szCs w:val="20"/>
        </w:rPr>
        <w:t>stock</w:t>
      </w:r>
      <w:r w:rsidR="00834721">
        <w:rPr>
          <w:color w:val="000000" w:themeColor="text1"/>
          <w:sz w:val="20"/>
          <w:szCs w:val="20"/>
        </w:rPr>
        <w:t>s</w:t>
      </w:r>
      <w:r w:rsidR="00E54E59" w:rsidRPr="00D35F39">
        <w:rPr>
          <w:color w:val="000000" w:themeColor="text1"/>
          <w:sz w:val="20"/>
          <w:szCs w:val="20"/>
        </w:rPr>
        <w:t xml:space="preserve"> were </w:t>
      </w:r>
      <w:r w:rsidR="00EC5F2A" w:rsidRPr="00D35F39">
        <w:rPr>
          <w:color w:val="000000" w:themeColor="text1"/>
          <w:sz w:val="20"/>
          <w:szCs w:val="20"/>
        </w:rPr>
        <w:t xml:space="preserve">constructed </w:t>
      </w:r>
      <w:r w:rsidR="00E54E59" w:rsidRPr="00D35F39">
        <w:rPr>
          <w:color w:val="000000" w:themeColor="text1"/>
          <w:sz w:val="20"/>
          <w:szCs w:val="20"/>
        </w:rPr>
        <w:t xml:space="preserve">to assess changes to the indoor environment (air quality, </w:t>
      </w:r>
      <w:r w:rsidR="006B16B3">
        <w:rPr>
          <w:color w:val="000000" w:themeColor="text1"/>
          <w:sz w:val="20"/>
          <w:szCs w:val="20"/>
        </w:rPr>
        <w:t xml:space="preserve">winter </w:t>
      </w:r>
      <w:r w:rsidR="00E54E59" w:rsidRPr="00D35F39">
        <w:rPr>
          <w:color w:val="000000" w:themeColor="text1"/>
          <w:sz w:val="20"/>
          <w:szCs w:val="20"/>
        </w:rPr>
        <w:t>temperature and energy use) associated with interventions of dwellings in the 2010 English Housing Survey</w:t>
      </w:r>
      <w:r w:rsidR="00473593" w:rsidRPr="00D35F39">
        <w:rPr>
          <w:color w:val="000000" w:themeColor="text1"/>
          <w:sz w:val="20"/>
          <w:szCs w:val="20"/>
        </w:rPr>
        <w:t xml:space="preserve"> (EHS</w:t>
      </w:r>
      <w:r w:rsidR="005030E1" w:rsidRPr="00D35F39">
        <w:rPr>
          <w:color w:val="000000" w:themeColor="text1"/>
          <w:sz w:val="20"/>
          <w:szCs w:val="20"/>
        </w:rPr>
        <w:t>,</w:t>
      </w:r>
      <w:r w:rsidR="00D33C9F" w:rsidRPr="00D35F39">
        <w:rPr>
          <w:color w:val="000000" w:themeColor="text1"/>
          <w:sz w:val="20"/>
          <w:szCs w:val="20"/>
        </w:rPr>
        <w:t xml:space="preserve"> </w:t>
      </w:r>
      <w:r w:rsidR="005030E1" w:rsidRPr="00D35F39">
        <w:rPr>
          <w:color w:val="000000" w:themeColor="text1"/>
          <w:sz w:val="20"/>
          <w:szCs w:val="20"/>
        </w:rPr>
        <w:t>201</w:t>
      </w:r>
      <w:r w:rsidR="00C70BD2">
        <w:rPr>
          <w:color w:val="000000" w:themeColor="text1"/>
          <w:sz w:val="20"/>
          <w:szCs w:val="20"/>
        </w:rPr>
        <w:t>2</w:t>
      </w:r>
      <w:r w:rsidR="00473593" w:rsidRPr="00D35F39">
        <w:rPr>
          <w:color w:val="000000" w:themeColor="text1"/>
          <w:sz w:val="20"/>
          <w:szCs w:val="20"/>
        </w:rPr>
        <w:t>)</w:t>
      </w:r>
      <w:r w:rsidR="00E54E59" w:rsidRPr="00D35F39">
        <w:rPr>
          <w:color w:val="000000" w:themeColor="text1"/>
          <w:sz w:val="20"/>
          <w:szCs w:val="20"/>
        </w:rPr>
        <w:t xml:space="preserve">. </w:t>
      </w:r>
      <w:r w:rsidR="005557F2" w:rsidRPr="00D35F39">
        <w:rPr>
          <w:color w:val="000000" w:themeColor="text1"/>
          <w:sz w:val="20"/>
          <w:szCs w:val="20"/>
        </w:rPr>
        <w:t>Ten dwelling geometries are used based on Oikonomou et al. (201</w:t>
      </w:r>
      <w:r w:rsidR="00AA41F0">
        <w:rPr>
          <w:color w:val="000000" w:themeColor="text1"/>
          <w:sz w:val="20"/>
          <w:szCs w:val="20"/>
        </w:rPr>
        <w:t>2</w:t>
      </w:r>
      <w:r w:rsidR="005557F2" w:rsidRPr="00D35F39">
        <w:rPr>
          <w:color w:val="000000" w:themeColor="text1"/>
          <w:sz w:val="20"/>
          <w:szCs w:val="20"/>
        </w:rPr>
        <w:t>) and Wilkinson et al. (2009)</w:t>
      </w:r>
      <w:r w:rsidR="00E3327F" w:rsidRPr="00D35F39">
        <w:rPr>
          <w:color w:val="000000" w:themeColor="text1"/>
          <w:sz w:val="20"/>
          <w:szCs w:val="20"/>
        </w:rPr>
        <w:t>,</w:t>
      </w:r>
      <w:r w:rsidR="005557F2" w:rsidRPr="00D35F39">
        <w:rPr>
          <w:color w:val="000000" w:themeColor="text1"/>
          <w:sz w:val="20"/>
          <w:szCs w:val="20"/>
        </w:rPr>
        <w:t xml:space="preserve"> </w:t>
      </w:r>
      <w:r w:rsidR="005557F2" w:rsidRPr="00D35F39">
        <w:rPr>
          <w:rFonts w:eastAsia="Times New Roman"/>
          <w:color w:val="000000" w:themeColor="text1"/>
          <w:sz w:val="20"/>
          <w:szCs w:val="20"/>
          <w:lang w:eastAsia="en-GB"/>
        </w:rPr>
        <w:t xml:space="preserve">supplemented with typical </w:t>
      </w:r>
      <w:r w:rsidR="005557F2" w:rsidRPr="00D35F39">
        <w:rPr>
          <w:rFonts w:eastAsia="Times New Roman"/>
          <w:color w:val="000000" w:themeColor="text1"/>
          <w:sz w:val="20"/>
          <w:szCs w:val="20"/>
          <w:lang w:eastAsia="en-GB"/>
        </w:rPr>
        <w:lastRenderedPageBreak/>
        <w:t>floor plans and facades available from the literature</w:t>
      </w:r>
      <w:r w:rsidR="00C16E6C">
        <w:rPr>
          <w:rFonts w:eastAsia="Times New Roman"/>
          <w:color w:val="000000" w:themeColor="text1"/>
          <w:sz w:val="20"/>
          <w:szCs w:val="20"/>
          <w:lang w:eastAsia="en-GB"/>
        </w:rPr>
        <w:t>.</w:t>
      </w:r>
      <w:r w:rsidR="004C0B5A">
        <w:rPr>
          <w:rFonts w:eastAsia="Times New Roman"/>
          <w:color w:val="000000" w:themeColor="text1"/>
          <w:sz w:val="20"/>
          <w:szCs w:val="20"/>
          <w:lang w:eastAsia="en-GB"/>
        </w:rPr>
        <w:t xml:space="preserve"> </w:t>
      </w:r>
      <w:r w:rsidR="00C16E6C" w:rsidRPr="00D35F39">
        <w:rPr>
          <w:rFonts w:eastAsia="Times New Roman"/>
          <w:bCs/>
          <w:color w:val="000000" w:themeColor="text1"/>
          <w:sz w:val="20"/>
          <w:szCs w:val="20"/>
          <w:lang w:eastAsia="en-GB"/>
        </w:rPr>
        <w:t>The resultant built forms are matched to each EHS entry using criteria of dwelling type and size.</w:t>
      </w:r>
      <w:r w:rsidR="00C16E6C" w:rsidRPr="00B22208">
        <w:rPr>
          <w:bCs/>
          <w:i/>
          <w:color w:val="000000" w:themeColor="text1"/>
          <w:sz w:val="20"/>
          <w:szCs w:val="20"/>
        </w:rPr>
        <w:t xml:space="preserve"> </w:t>
      </w:r>
      <w:r w:rsidR="00C16E6C" w:rsidRPr="00C16E6C">
        <w:rPr>
          <w:rFonts w:eastAsia="Times New Roman"/>
          <w:color w:val="000000" w:themeColor="text1"/>
          <w:sz w:val="20"/>
          <w:szCs w:val="20"/>
          <w:lang w:eastAsia="en-GB"/>
        </w:rPr>
        <w:t>Outlin</w:t>
      </w:r>
      <w:r w:rsidR="00A36F73">
        <w:rPr>
          <w:rFonts w:eastAsia="Times New Roman"/>
          <w:color w:val="000000" w:themeColor="text1"/>
          <w:sz w:val="20"/>
          <w:szCs w:val="20"/>
          <w:lang w:eastAsia="en-GB"/>
        </w:rPr>
        <w:t>e plans and</w:t>
      </w:r>
      <w:r w:rsidR="003D1826">
        <w:rPr>
          <w:rFonts w:eastAsia="Times New Roman"/>
          <w:color w:val="000000" w:themeColor="text1"/>
          <w:sz w:val="20"/>
          <w:szCs w:val="20"/>
          <w:lang w:eastAsia="en-GB"/>
        </w:rPr>
        <w:t xml:space="preserve"> model screen shots for </w:t>
      </w:r>
      <w:r w:rsidR="00C16E6C" w:rsidRPr="00C16E6C">
        <w:rPr>
          <w:rFonts w:eastAsia="Times New Roman"/>
          <w:color w:val="000000" w:themeColor="text1"/>
          <w:sz w:val="20"/>
          <w:szCs w:val="20"/>
          <w:lang w:eastAsia="en-GB"/>
        </w:rPr>
        <w:t xml:space="preserve">all </w:t>
      </w:r>
      <w:r w:rsidR="00DA6629">
        <w:rPr>
          <w:rFonts w:eastAsia="Times New Roman"/>
          <w:color w:val="000000" w:themeColor="text1"/>
          <w:sz w:val="20"/>
          <w:szCs w:val="20"/>
          <w:lang w:eastAsia="en-GB"/>
        </w:rPr>
        <w:t>archetypes</w:t>
      </w:r>
      <w:r w:rsidR="00C16E6C" w:rsidRPr="00C16E6C">
        <w:rPr>
          <w:rFonts w:eastAsia="Times New Roman"/>
          <w:color w:val="000000" w:themeColor="text1"/>
          <w:sz w:val="20"/>
          <w:szCs w:val="20"/>
          <w:lang w:eastAsia="en-GB"/>
        </w:rPr>
        <w:t xml:space="preserve"> </w:t>
      </w:r>
      <w:r w:rsidR="00C16E6C">
        <w:rPr>
          <w:rFonts w:eastAsia="Times New Roman"/>
          <w:color w:val="000000" w:themeColor="text1"/>
          <w:sz w:val="20"/>
          <w:szCs w:val="20"/>
          <w:lang w:eastAsia="en-GB"/>
        </w:rPr>
        <w:t xml:space="preserve">are </w:t>
      </w:r>
      <w:r w:rsidR="004C0B5A">
        <w:rPr>
          <w:rFonts w:eastAsia="Times New Roman"/>
          <w:color w:val="000000" w:themeColor="text1"/>
          <w:sz w:val="20"/>
          <w:szCs w:val="20"/>
          <w:lang w:eastAsia="en-GB"/>
        </w:rPr>
        <w:t xml:space="preserve">shown in the online supplementary </w:t>
      </w:r>
      <w:r w:rsidR="00C16E6C">
        <w:rPr>
          <w:rFonts w:eastAsia="Times New Roman"/>
          <w:color w:val="000000" w:themeColor="text1"/>
          <w:sz w:val="20"/>
          <w:szCs w:val="20"/>
          <w:lang w:eastAsia="en-GB"/>
        </w:rPr>
        <w:t>file accompanying this study</w:t>
      </w:r>
      <w:r w:rsidR="005557F2" w:rsidRPr="00D35F39">
        <w:rPr>
          <w:rFonts w:eastAsia="Times New Roman"/>
          <w:color w:val="000000" w:themeColor="text1"/>
          <w:sz w:val="20"/>
          <w:szCs w:val="20"/>
          <w:lang w:eastAsia="en-GB"/>
        </w:rPr>
        <w:t>.</w:t>
      </w:r>
      <w:r w:rsidR="005557F2" w:rsidRPr="00D35F39">
        <w:rPr>
          <w:rFonts w:eastAsia="Times New Roman"/>
          <w:bCs/>
          <w:color w:val="000000" w:themeColor="text1"/>
          <w:sz w:val="20"/>
          <w:szCs w:val="20"/>
          <w:lang w:eastAsia="en-GB"/>
        </w:rPr>
        <w:t xml:space="preserve"> </w:t>
      </w:r>
    </w:p>
    <w:p w14:paraId="03B4ECAE" w14:textId="77F1C0C0" w:rsidR="00B22208" w:rsidRPr="00D35F39" w:rsidRDefault="00B22208" w:rsidP="00B22208">
      <w:pPr>
        <w:spacing w:after="0" w:line="480" w:lineRule="auto"/>
        <w:contextualSpacing/>
        <w:divId w:val="434059591"/>
        <w:rPr>
          <w:bCs/>
          <w:color w:val="000000" w:themeColor="text1"/>
          <w:sz w:val="20"/>
          <w:szCs w:val="20"/>
        </w:rPr>
      </w:pPr>
      <w:r>
        <w:rPr>
          <w:bCs/>
          <w:color w:val="000000" w:themeColor="text1"/>
          <w:sz w:val="20"/>
          <w:szCs w:val="20"/>
        </w:rPr>
        <w:t>For</w:t>
      </w:r>
      <w:r w:rsidRPr="00D35F39">
        <w:rPr>
          <w:bCs/>
          <w:color w:val="000000" w:themeColor="text1"/>
          <w:sz w:val="20"/>
          <w:szCs w:val="20"/>
        </w:rPr>
        <w:t xml:space="preserve"> baseline (2010) indoor pollutant concentrations, each geometry in CONTAM is </w:t>
      </w:r>
      <w:r w:rsidR="00C31A4F" w:rsidRPr="00D35F39">
        <w:rPr>
          <w:bCs/>
          <w:color w:val="000000" w:themeColor="text1"/>
          <w:sz w:val="20"/>
          <w:szCs w:val="20"/>
        </w:rPr>
        <w:t>remodelled</w:t>
      </w:r>
      <w:r w:rsidRPr="00D35F39">
        <w:rPr>
          <w:bCs/>
          <w:color w:val="000000" w:themeColor="text1"/>
          <w:sz w:val="20"/>
          <w:szCs w:val="20"/>
        </w:rPr>
        <w:t xml:space="preserve"> with </w:t>
      </w:r>
      <w:r>
        <w:rPr>
          <w:bCs/>
          <w:color w:val="000000" w:themeColor="text1"/>
          <w:sz w:val="20"/>
          <w:szCs w:val="20"/>
        </w:rPr>
        <w:t>four</w:t>
      </w:r>
      <w:r w:rsidRPr="00D35F39">
        <w:rPr>
          <w:bCs/>
          <w:color w:val="000000" w:themeColor="text1"/>
          <w:sz w:val="20"/>
          <w:szCs w:val="20"/>
        </w:rPr>
        <w:t xml:space="preserve"> </w:t>
      </w:r>
      <w:r>
        <w:rPr>
          <w:bCs/>
          <w:color w:val="000000" w:themeColor="text1"/>
          <w:sz w:val="20"/>
          <w:szCs w:val="20"/>
        </w:rPr>
        <w:t>distinct</w:t>
      </w:r>
      <w:r w:rsidRPr="00D35F39">
        <w:rPr>
          <w:bCs/>
          <w:color w:val="000000" w:themeColor="text1"/>
          <w:sz w:val="20"/>
          <w:szCs w:val="20"/>
        </w:rPr>
        <w:t xml:space="preserve"> ventilation system options: </w:t>
      </w:r>
      <w:r>
        <w:rPr>
          <w:bCs/>
          <w:color w:val="000000" w:themeColor="text1"/>
          <w:sz w:val="20"/>
          <w:szCs w:val="20"/>
        </w:rPr>
        <w:t xml:space="preserve">(i) </w:t>
      </w:r>
      <w:r w:rsidRPr="00D35F39">
        <w:rPr>
          <w:bCs/>
          <w:color w:val="000000" w:themeColor="text1"/>
          <w:sz w:val="20"/>
          <w:szCs w:val="20"/>
        </w:rPr>
        <w:t xml:space="preserve">no trickle vents or extract fans, </w:t>
      </w:r>
      <w:r>
        <w:rPr>
          <w:bCs/>
          <w:color w:val="000000" w:themeColor="text1"/>
          <w:sz w:val="20"/>
          <w:szCs w:val="20"/>
        </w:rPr>
        <w:t xml:space="preserve">(ii) </w:t>
      </w:r>
      <w:r w:rsidRPr="00D35F39">
        <w:rPr>
          <w:bCs/>
          <w:color w:val="000000" w:themeColor="text1"/>
          <w:sz w:val="20"/>
          <w:szCs w:val="20"/>
        </w:rPr>
        <w:t xml:space="preserve">trickle vents only, </w:t>
      </w:r>
      <w:r>
        <w:rPr>
          <w:bCs/>
          <w:color w:val="000000" w:themeColor="text1"/>
          <w:sz w:val="20"/>
          <w:szCs w:val="20"/>
        </w:rPr>
        <w:t xml:space="preserve">(iii) </w:t>
      </w:r>
      <w:r w:rsidRPr="00D35F39">
        <w:rPr>
          <w:bCs/>
          <w:color w:val="000000" w:themeColor="text1"/>
          <w:sz w:val="20"/>
          <w:szCs w:val="20"/>
        </w:rPr>
        <w:t>extract fans only</w:t>
      </w:r>
      <w:r>
        <w:rPr>
          <w:bCs/>
          <w:color w:val="000000" w:themeColor="text1"/>
          <w:sz w:val="20"/>
          <w:szCs w:val="20"/>
        </w:rPr>
        <w:t xml:space="preserve"> and (iv)</w:t>
      </w:r>
      <w:r w:rsidRPr="00D35F39">
        <w:rPr>
          <w:bCs/>
          <w:color w:val="000000" w:themeColor="text1"/>
          <w:sz w:val="20"/>
          <w:szCs w:val="20"/>
        </w:rPr>
        <w:t xml:space="preserve"> trickle vents and extract fans</w:t>
      </w:r>
      <w:r>
        <w:rPr>
          <w:bCs/>
          <w:color w:val="000000" w:themeColor="text1"/>
          <w:sz w:val="20"/>
          <w:szCs w:val="20"/>
        </w:rPr>
        <w:t xml:space="preserve">. This gives </w:t>
      </w:r>
      <w:r w:rsidRPr="00D35F39">
        <w:rPr>
          <w:bCs/>
          <w:color w:val="000000" w:themeColor="text1"/>
          <w:sz w:val="20"/>
          <w:szCs w:val="20"/>
        </w:rPr>
        <w:t xml:space="preserve">a total of </w:t>
      </w:r>
      <w:r>
        <w:rPr>
          <w:bCs/>
          <w:color w:val="000000" w:themeColor="text1"/>
          <w:sz w:val="20"/>
          <w:szCs w:val="20"/>
        </w:rPr>
        <w:t>4</w:t>
      </w:r>
      <w:r w:rsidRPr="00D35F39">
        <w:rPr>
          <w:bCs/>
          <w:color w:val="000000" w:themeColor="text1"/>
          <w:sz w:val="20"/>
          <w:szCs w:val="20"/>
        </w:rPr>
        <w:t xml:space="preserve">0 dwelling </w:t>
      </w:r>
      <w:r>
        <w:rPr>
          <w:bCs/>
          <w:color w:val="000000" w:themeColor="text1"/>
          <w:sz w:val="20"/>
          <w:szCs w:val="20"/>
        </w:rPr>
        <w:t xml:space="preserve">form-ventilation </w:t>
      </w:r>
      <w:r w:rsidRPr="00D35F39">
        <w:rPr>
          <w:bCs/>
          <w:color w:val="000000" w:themeColor="text1"/>
          <w:sz w:val="20"/>
          <w:szCs w:val="20"/>
        </w:rPr>
        <w:t xml:space="preserve">archetypes with which to represent the EHS dwelling variants. </w:t>
      </w:r>
      <w:r>
        <w:rPr>
          <w:bCs/>
          <w:color w:val="000000" w:themeColor="text1"/>
          <w:sz w:val="20"/>
          <w:szCs w:val="20"/>
        </w:rPr>
        <w:t xml:space="preserve">All ventilation components </w:t>
      </w:r>
      <w:r w:rsidRPr="00D35F39">
        <w:rPr>
          <w:bCs/>
          <w:color w:val="000000" w:themeColor="text1"/>
          <w:sz w:val="20"/>
          <w:szCs w:val="20"/>
        </w:rPr>
        <w:t>are assumed to be functioning correctly with no allowance made for mechanical failure or deterioration with time.</w:t>
      </w:r>
      <w:r>
        <w:rPr>
          <w:bCs/>
          <w:color w:val="000000" w:themeColor="text1"/>
          <w:sz w:val="20"/>
          <w:szCs w:val="20"/>
        </w:rPr>
        <w:t xml:space="preserve"> It is acknowledged that this could lead to slightly lower indoor pollutant concentrations.</w:t>
      </w:r>
      <w:r w:rsidRPr="00D35F39">
        <w:rPr>
          <w:bCs/>
          <w:color w:val="000000" w:themeColor="text1"/>
          <w:sz w:val="20"/>
          <w:szCs w:val="20"/>
        </w:rPr>
        <w:t xml:space="preserve"> </w:t>
      </w:r>
      <w:r>
        <w:rPr>
          <w:bCs/>
          <w:color w:val="000000" w:themeColor="text1"/>
          <w:sz w:val="20"/>
          <w:szCs w:val="20"/>
        </w:rPr>
        <w:t>E</w:t>
      </w:r>
      <w:r w:rsidRPr="00D35F39">
        <w:rPr>
          <w:bCs/>
          <w:color w:val="000000" w:themeColor="text1"/>
          <w:sz w:val="20"/>
          <w:szCs w:val="20"/>
        </w:rPr>
        <w:t xml:space="preserve">ach of the </w:t>
      </w:r>
      <w:r>
        <w:rPr>
          <w:bCs/>
          <w:color w:val="000000" w:themeColor="text1"/>
          <w:sz w:val="20"/>
          <w:szCs w:val="20"/>
        </w:rPr>
        <w:t>4</w:t>
      </w:r>
      <w:r w:rsidRPr="00D35F39">
        <w:rPr>
          <w:bCs/>
          <w:color w:val="000000" w:themeColor="text1"/>
          <w:sz w:val="20"/>
          <w:szCs w:val="20"/>
        </w:rPr>
        <w:t xml:space="preserve">0 archetypes is modelled with eight permeabilities ranging </w:t>
      </w:r>
      <w:r>
        <w:rPr>
          <w:bCs/>
          <w:color w:val="000000" w:themeColor="text1"/>
          <w:sz w:val="20"/>
          <w:szCs w:val="20"/>
        </w:rPr>
        <w:t>from</w:t>
      </w:r>
      <w:r w:rsidRPr="00D35F39">
        <w:rPr>
          <w:bCs/>
          <w:color w:val="000000" w:themeColor="text1"/>
          <w:sz w:val="20"/>
          <w:szCs w:val="20"/>
        </w:rPr>
        <w:t xml:space="preserve"> 3</w:t>
      </w:r>
      <w:r>
        <w:rPr>
          <w:bCs/>
          <w:color w:val="000000" w:themeColor="text1"/>
          <w:sz w:val="20"/>
          <w:szCs w:val="20"/>
        </w:rPr>
        <w:t xml:space="preserve"> to </w:t>
      </w:r>
      <w:r w:rsidRPr="00D35F39">
        <w:rPr>
          <w:bCs/>
          <w:color w:val="000000" w:themeColor="text1"/>
          <w:sz w:val="20"/>
          <w:szCs w:val="20"/>
        </w:rPr>
        <w:t>30</w:t>
      </w:r>
      <w:r>
        <w:rPr>
          <w:bCs/>
          <w:color w:val="000000" w:themeColor="text1"/>
          <w:sz w:val="20"/>
          <w:szCs w:val="20"/>
        </w:rPr>
        <w:t xml:space="preserve"> </w:t>
      </w:r>
      <w:r w:rsidRPr="00D35F39">
        <w:rPr>
          <w:bCs/>
          <w:color w:val="000000" w:themeColor="text1"/>
          <w:sz w:val="20"/>
          <w:szCs w:val="20"/>
        </w:rPr>
        <w:t>m</w:t>
      </w:r>
      <w:r w:rsidRPr="00D35F39">
        <w:rPr>
          <w:bCs/>
          <w:color w:val="000000" w:themeColor="text1"/>
          <w:sz w:val="20"/>
          <w:szCs w:val="20"/>
          <w:vertAlign w:val="superscript"/>
        </w:rPr>
        <w:t>3</w:t>
      </w:r>
      <w:r w:rsidRPr="00D35F39">
        <w:rPr>
          <w:bCs/>
          <w:color w:val="000000" w:themeColor="text1"/>
          <w:sz w:val="20"/>
          <w:szCs w:val="20"/>
        </w:rPr>
        <w:t>/h/m</w:t>
      </w:r>
      <w:r w:rsidRPr="00D35F39">
        <w:rPr>
          <w:bCs/>
          <w:color w:val="000000" w:themeColor="text1"/>
          <w:sz w:val="20"/>
          <w:szCs w:val="20"/>
          <w:vertAlign w:val="superscript"/>
        </w:rPr>
        <w:t>2</w:t>
      </w:r>
      <w:r w:rsidRPr="00D35F39">
        <w:rPr>
          <w:bCs/>
          <w:color w:val="000000" w:themeColor="text1"/>
          <w:sz w:val="20"/>
          <w:szCs w:val="20"/>
        </w:rPr>
        <w:t xml:space="preserve">@50Pa </w:t>
      </w:r>
      <w:r w:rsidR="003D1826">
        <w:rPr>
          <w:bCs/>
          <w:color w:val="000000" w:themeColor="text1"/>
          <w:sz w:val="20"/>
          <w:szCs w:val="20"/>
        </w:rPr>
        <w:t xml:space="preserve">present in the English stock </w:t>
      </w:r>
      <w:r w:rsidRPr="00D35F39">
        <w:rPr>
          <w:bCs/>
          <w:color w:val="000000" w:themeColor="text1"/>
          <w:sz w:val="20"/>
          <w:szCs w:val="20"/>
        </w:rPr>
        <w:t>(Steven 1998)</w:t>
      </w:r>
      <w:r>
        <w:rPr>
          <w:bCs/>
          <w:color w:val="000000" w:themeColor="text1"/>
          <w:sz w:val="20"/>
          <w:szCs w:val="20"/>
        </w:rPr>
        <w:t xml:space="preserve">, giving a total of </w:t>
      </w:r>
      <w:r w:rsidRPr="00D35F39">
        <w:rPr>
          <w:bCs/>
          <w:color w:val="000000" w:themeColor="text1"/>
          <w:sz w:val="20"/>
          <w:szCs w:val="20"/>
        </w:rPr>
        <w:t>320</w:t>
      </w:r>
      <w:r>
        <w:rPr>
          <w:bCs/>
          <w:color w:val="000000" w:themeColor="text1"/>
          <w:sz w:val="20"/>
          <w:szCs w:val="20"/>
        </w:rPr>
        <w:t xml:space="preserve"> </w:t>
      </w:r>
      <w:r w:rsidRPr="00D35F39">
        <w:rPr>
          <w:bCs/>
          <w:color w:val="000000" w:themeColor="text1"/>
          <w:sz w:val="20"/>
          <w:szCs w:val="20"/>
        </w:rPr>
        <w:t>archetypes. Each EHS variant is mapped to one of these models using the predicted permeability value. These are simulated in CONTAM, to obtain concentrations of indoor and outdoor source</w:t>
      </w:r>
      <w:r>
        <w:rPr>
          <w:bCs/>
          <w:color w:val="000000" w:themeColor="text1"/>
          <w:sz w:val="20"/>
          <w:szCs w:val="20"/>
        </w:rPr>
        <w:t>d</w:t>
      </w:r>
      <w:r w:rsidRPr="00D35F39">
        <w:rPr>
          <w:bCs/>
          <w:color w:val="000000" w:themeColor="text1"/>
          <w:sz w:val="20"/>
          <w:szCs w:val="20"/>
        </w:rPr>
        <w:t xml:space="preserve"> particulate matter </w:t>
      </w:r>
      <w:r w:rsidRPr="00D35F39">
        <w:rPr>
          <w:bCs/>
          <w:color w:val="000000" w:themeColor="text1"/>
          <w:sz w:val="20"/>
          <w:szCs w:val="20"/>
        </w:rPr>
        <w:sym w:font="Symbol" w:char="F0A3"/>
      </w:r>
      <w:r w:rsidRPr="00D35F39">
        <w:rPr>
          <w:bCs/>
          <w:color w:val="000000" w:themeColor="text1"/>
          <w:sz w:val="20"/>
          <w:szCs w:val="20"/>
        </w:rPr>
        <w:t>2.5μm (PM</w:t>
      </w:r>
      <w:r w:rsidRPr="00D35F39">
        <w:rPr>
          <w:bCs/>
          <w:color w:val="000000" w:themeColor="text1"/>
          <w:sz w:val="20"/>
          <w:szCs w:val="20"/>
          <w:vertAlign w:val="subscript"/>
        </w:rPr>
        <w:t>2.5</w:t>
      </w:r>
      <w:r w:rsidRPr="00D35F39">
        <w:rPr>
          <w:bCs/>
          <w:color w:val="000000" w:themeColor="text1"/>
          <w:sz w:val="20"/>
          <w:szCs w:val="20"/>
        </w:rPr>
        <w:t xml:space="preserve">), radon, environmental tobacco smoke (ETS), and moisture (as a precursor of </w:t>
      </w:r>
      <w:r w:rsidR="00C31A4F" w:rsidRPr="00D35F39">
        <w:rPr>
          <w:bCs/>
          <w:color w:val="000000" w:themeColor="text1"/>
          <w:sz w:val="20"/>
          <w:szCs w:val="20"/>
        </w:rPr>
        <w:t>mould</w:t>
      </w:r>
      <w:r w:rsidRPr="00D35F39">
        <w:rPr>
          <w:bCs/>
          <w:color w:val="000000" w:themeColor="text1"/>
          <w:sz w:val="20"/>
          <w:szCs w:val="20"/>
        </w:rPr>
        <w:t xml:space="preserve">). </w:t>
      </w:r>
      <w:r>
        <w:rPr>
          <w:bCs/>
          <w:color w:val="000000" w:themeColor="text1"/>
          <w:sz w:val="20"/>
          <w:szCs w:val="20"/>
        </w:rPr>
        <w:t xml:space="preserve">Under each scenario </w:t>
      </w:r>
      <w:r w:rsidRPr="00D35F39">
        <w:rPr>
          <w:rFonts w:eastAsia="HGｺﾞｼｯｸE"/>
          <w:bCs/>
          <w:sz w:val="20"/>
          <w:szCs w:val="20"/>
        </w:rPr>
        <w:t>the adapted EHS variants</w:t>
      </w:r>
      <w:r>
        <w:rPr>
          <w:rFonts w:eastAsia="HGｺﾞｼｯｸE"/>
          <w:bCs/>
          <w:sz w:val="20"/>
          <w:szCs w:val="20"/>
        </w:rPr>
        <w:t xml:space="preserve"> are mapped</w:t>
      </w:r>
      <w:r w:rsidRPr="00D35F39">
        <w:rPr>
          <w:rFonts w:eastAsia="HGｺﾞｼｯｸE"/>
          <w:bCs/>
          <w:sz w:val="20"/>
          <w:szCs w:val="20"/>
        </w:rPr>
        <w:t xml:space="preserve"> to the CONTAM models</w:t>
      </w:r>
      <w:r>
        <w:rPr>
          <w:rFonts w:eastAsia="HGｺﾞｼｯｸE"/>
          <w:bCs/>
          <w:sz w:val="20"/>
          <w:szCs w:val="20"/>
        </w:rPr>
        <w:t xml:space="preserve"> to reflect the change in permeability following the interventions, thus</w:t>
      </w:r>
      <w:r w:rsidRPr="00D35F39">
        <w:rPr>
          <w:rFonts w:eastAsia="HGｺﾞｼｯｸE"/>
          <w:bCs/>
          <w:sz w:val="20"/>
          <w:szCs w:val="20"/>
        </w:rPr>
        <w:t xml:space="preserve"> future changes in indoor pollutant concentrations are</w:t>
      </w:r>
      <w:r>
        <w:rPr>
          <w:rFonts w:eastAsia="HGｺﾞｼｯｸE"/>
          <w:bCs/>
          <w:sz w:val="20"/>
          <w:szCs w:val="20"/>
        </w:rPr>
        <w:t xml:space="preserve"> estimated</w:t>
      </w:r>
      <w:r w:rsidRPr="00D35F39">
        <w:rPr>
          <w:rFonts w:eastAsia="HGｺﾞｼｯｸE"/>
          <w:bCs/>
          <w:sz w:val="20"/>
          <w:szCs w:val="20"/>
        </w:rPr>
        <w:t>. This mapping inc</w:t>
      </w:r>
      <w:r>
        <w:rPr>
          <w:rFonts w:eastAsia="HGｺﾞｼｯｸE"/>
          <w:bCs/>
          <w:sz w:val="20"/>
          <w:szCs w:val="20"/>
        </w:rPr>
        <w:t>ludes</w:t>
      </w:r>
      <w:r w:rsidRPr="00D35F39">
        <w:rPr>
          <w:rFonts w:eastAsia="HGｺﾞｼｯｸE"/>
          <w:bCs/>
          <w:sz w:val="20"/>
          <w:szCs w:val="20"/>
        </w:rPr>
        <w:t xml:space="preserve"> anticipated reductions in external PM</w:t>
      </w:r>
      <w:r w:rsidRPr="00D35F39">
        <w:rPr>
          <w:sz w:val="20"/>
          <w:szCs w:val="20"/>
          <w:vertAlign w:val="subscript"/>
        </w:rPr>
        <w:t>2.5</w:t>
      </w:r>
      <w:r w:rsidRPr="00D35F39">
        <w:rPr>
          <w:rFonts w:eastAsia="HGｺﾞｼｯｸE"/>
          <w:bCs/>
          <w:sz w:val="20"/>
          <w:szCs w:val="20"/>
        </w:rPr>
        <w:t xml:space="preserve"> concentration</w:t>
      </w:r>
      <w:r>
        <w:rPr>
          <w:rFonts w:eastAsia="HGｺﾞｼｯｸE"/>
          <w:bCs/>
          <w:sz w:val="20"/>
          <w:szCs w:val="20"/>
        </w:rPr>
        <w:t>s</w:t>
      </w:r>
      <w:r w:rsidR="002769EC">
        <w:rPr>
          <w:rFonts w:eastAsia="HGｺﾞｼｯｸE"/>
          <w:bCs/>
          <w:sz w:val="20"/>
          <w:szCs w:val="20"/>
        </w:rPr>
        <w:t>,</w:t>
      </w:r>
      <w:r w:rsidRPr="00D35F39">
        <w:rPr>
          <w:rFonts w:eastAsia="HGｺﾞｼｯｸE"/>
          <w:bCs/>
          <w:sz w:val="20"/>
          <w:szCs w:val="20"/>
        </w:rPr>
        <w:t xml:space="preserve"> </w:t>
      </w:r>
      <w:r>
        <w:rPr>
          <w:rFonts w:eastAsia="HGｺﾞｼｯｸE"/>
          <w:bCs/>
          <w:sz w:val="20"/>
          <w:szCs w:val="20"/>
        </w:rPr>
        <w:t>specified by</w:t>
      </w:r>
      <w:r w:rsidRPr="00D35F39">
        <w:rPr>
          <w:rFonts w:eastAsia="HGｺﾞｼｯｸE"/>
          <w:bCs/>
          <w:sz w:val="20"/>
          <w:szCs w:val="20"/>
        </w:rPr>
        <w:t xml:space="preserve"> year and location</w:t>
      </w:r>
      <w:r>
        <w:rPr>
          <w:rFonts w:eastAsia="HGｺﾞｼｯｸE"/>
          <w:bCs/>
          <w:sz w:val="20"/>
          <w:szCs w:val="20"/>
        </w:rPr>
        <w:t xml:space="preserve">. </w:t>
      </w:r>
      <w:r w:rsidR="002158E0" w:rsidRPr="00D35F39">
        <w:rPr>
          <w:bCs/>
          <w:color w:val="000000" w:themeColor="text1"/>
          <w:sz w:val="20"/>
          <w:szCs w:val="20"/>
        </w:rPr>
        <w:t>For London, the 2010 annual mean outdoor urban background concentration PM</w:t>
      </w:r>
      <w:r w:rsidR="002158E0" w:rsidRPr="00D35F39">
        <w:rPr>
          <w:bCs/>
          <w:color w:val="000000" w:themeColor="text1"/>
          <w:sz w:val="20"/>
          <w:szCs w:val="20"/>
          <w:vertAlign w:val="subscript"/>
        </w:rPr>
        <w:t xml:space="preserve">2.5 </w:t>
      </w:r>
      <w:r w:rsidR="002158E0" w:rsidRPr="00D35F39">
        <w:rPr>
          <w:bCs/>
          <w:color w:val="000000" w:themeColor="text1"/>
          <w:sz w:val="20"/>
          <w:szCs w:val="20"/>
        </w:rPr>
        <w:t>is taken as 13</w:t>
      </w:r>
      <w:r w:rsidR="002158E0">
        <w:rPr>
          <w:bCs/>
          <w:color w:val="000000" w:themeColor="text1"/>
          <w:sz w:val="20"/>
          <w:szCs w:val="20"/>
        </w:rPr>
        <w:t>.0</w:t>
      </w:r>
      <w:r w:rsidR="002158E0" w:rsidRPr="00D35F39">
        <w:rPr>
          <w:bCs/>
          <w:color w:val="000000" w:themeColor="text1"/>
          <w:sz w:val="20"/>
          <w:szCs w:val="20"/>
        </w:rPr>
        <w:t>µg.m</w:t>
      </w:r>
      <w:r w:rsidR="002158E0" w:rsidRPr="00D35F39">
        <w:rPr>
          <w:color w:val="000000" w:themeColor="text1"/>
          <w:sz w:val="20"/>
          <w:szCs w:val="20"/>
          <w:vertAlign w:val="superscript"/>
        </w:rPr>
        <w:t>-</w:t>
      </w:r>
      <w:r w:rsidR="002158E0" w:rsidRPr="00D35F39">
        <w:rPr>
          <w:bCs/>
          <w:color w:val="000000" w:themeColor="text1"/>
          <w:sz w:val="20"/>
          <w:szCs w:val="20"/>
          <w:vertAlign w:val="superscript"/>
        </w:rPr>
        <w:t>3</w:t>
      </w:r>
      <w:r w:rsidR="002158E0" w:rsidRPr="00D35F39">
        <w:rPr>
          <w:bCs/>
          <w:color w:val="000000" w:themeColor="text1"/>
          <w:sz w:val="20"/>
          <w:szCs w:val="20"/>
        </w:rPr>
        <w:t xml:space="preserve"> (Shrubsole et al., 2012). For Milton Keynes, the figure of 10.9 µg.m</w:t>
      </w:r>
      <w:r w:rsidR="002158E0" w:rsidRPr="00D35F39">
        <w:rPr>
          <w:bCs/>
          <w:color w:val="000000" w:themeColor="text1"/>
          <w:sz w:val="20"/>
          <w:szCs w:val="20"/>
          <w:vertAlign w:val="superscript"/>
        </w:rPr>
        <w:t>-3</w:t>
      </w:r>
      <w:r w:rsidR="002158E0" w:rsidRPr="00D35F39">
        <w:rPr>
          <w:bCs/>
          <w:color w:val="000000" w:themeColor="text1"/>
          <w:sz w:val="20"/>
          <w:szCs w:val="20"/>
        </w:rPr>
        <w:t xml:space="preserve"> is based on data from the Defra mapping project (Defra, 2013). For future PM</w:t>
      </w:r>
      <w:r w:rsidR="002158E0" w:rsidRPr="00D35F39">
        <w:rPr>
          <w:bCs/>
          <w:color w:val="000000" w:themeColor="text1"/>
          <w:sz w:val="20"/>
          <w:szCs w:val="20"/>
          <w:vertAlign w:val="subscript"/>
        </w:rPr>
        <w:t>2.5</w:t>
      </w:r>
      <w:r w:rsidR="002158E0" w:rsidRPr="00D35F39">
        <w:rPr>
          <w:bCs/>
          <w:color w:val="000000" w:themeColor="text1"/>
          <w:sz w:val="20"/>
          <w:szCs w:val="20"/>
        </w:rPr>
        <w:t xml:space="preserve"> concentrations, Defra data </w:t>
      </w:r>
      <w:r w:rsidR="002158E0">
        <w:rPr>
          <w:bCs/>
          <w:color w:val="000000" w:themeColor="text1"/>
          <w:sz w:val="20"/>
          <w:szCs w:val="20"/>
        </w:rPr>
        <w:t>is</w:t>
      </w:r>
      <w:r w:rsidR="002158E0" w:rsidRPr="00D35F39">
        <w:rPr>
          <w:bCs/>
          <w:color w:val="000000" w:themeColor="text1"/>
          <w:sz w:val="20"/>
          <w:szCs w:val="20"/>
        </w:rPr>
        <w:t xml:space="preserve"> </w:t>
      </w:r>
      <w:r w:rsidR="003C57AB">
        <w:rPr>
          <w:bCs/>
          <w:color w:val="000000" w:themeColor="text1"/>
          <w:sz w:val="20"/>
          <w:szCs w:val="20"/>
        </w:rPr>
        <w:t>available</w:t>
      </w:r>
      <w:r w:rsidR="003C57AB" w:rsidRPr="00D35F39">
        <w:rPr>
          <w:bCs/>
          <w:color w:val="000000" w:themeColor="text1"/>
          <w:sz w:val="20"/>
          <w:szCs w:val="20"/>
        </w:rPr>
        <w:t xml:space="preserve"> </w:t>
      </w:r>
      <w:r w:rsidR="002158E0">
        <w:rPr>
          <w:bCs/>
          <w:color w:val="000000" w:themeColor="text1"/>
          <w:sz w:val="20"/>
          <w:szCs w:val="20"/>
        </w:rPr>
        <w:t xml:space="preserve"> to</w:t>
      </w:r>
      <w:r w:rsidR="002158E0" w:rsidRPr="00D35F39">
        <w:rPr>
          <w:bCs/>
          <w:color w:val="000000" w:themeColor="text1"/>
          <w:sz w:val="20"/>
          <w:szCs w:val="20"/>
        </w:rPr>
        <w:t xml:space="preserve"> 2030 in both locations. For 2050,</w:t>
      </w:r>
      <w:r w:rsidR="003C57AB">
        <w:rPr>
          <w:bCs/>
          <w:color w:val="000000" w:themeColor="text1"/>
          <w:sz w:val="20"/>
          <w:szCs w:val="20"/>
        </w:rPr>
        <w:t xml:space="preserve"> </w:t>
      </w:r>
      <w:r w:rsidR="002158E0" w:rsidRPr="00D35F39">
        <w:rPr>
          <w:bCs/>
          <w:color w:val="000000" w:themeColor="text1"/>
          <w:sz w:val="20"/>
          <w:szCs w:val="20"/>
        </w:rPr>
        <w:t>a linear trend</w:t>
      </w:r>
      <w:r w:rsidR="00955079">
        <w:rPr>
          <w:bCs/>
          <w:color w:val="000000" w:themeColor="text1"/>
          <w:sz w:val="20"/>
          <w:szCs w:val="20"/>
        </w:rPr>
        <w:t xml:space="preserve"> </w:t>
      </w:r>
      <w:r w:rsidR="003C57AB">
        <w:rPr>
          <w:bCs/>
          <w:color w:val="000000" w:themeColor="text1"/>
          <w:sz w:val="20"/>
          <w:szCs w:val="20"/>
        </w:rPr>
        <w:t>is assumed</w:t>
      </w:r>
      <w:r w:rsidR="00C77020">
        <w:rPr>
          <w:bCs/>
          <w:color w:val="000000" w:themeColor="text1"/>
          <w:sz w:val="20"/>
          <w:szCs w:val="20"/>
        </w:rPr>
        <w:t>, in order</w:t>
      </w:r>
      <w:r w:rsidR="003C57AB">
        <w:rPr>
          <w:bCs/>
          <w:color w:val="000000" w:themeColor="text1"/>
          <w:sz w:val="20"/>
          <w:szCs w:val="20"/>
        </w:rPr>
        <w:t xml:space="preserve"> to bring results in line with </w:t>
      </w:r>
      <w:r w:rsidR="00945CDE">
        <w:rPr>
          <w:bCs/>
          <w:color w:val="000000" w:themeColor="text1"/>
          <w:sz w:val="20"/>
          <w:szCs w:val="20"/>
        </w:rPr>
        <w:t xml:space="preserve">2050 </w:t>
      </w:r>
      <w:r w:rsidR="003C57AB">
        <w:rPr>
          <w:bCs/>
          <w:color w:val="000000" w:themeColor="text1"/>
          <w:sz w:val="20"/>
          <w:szCs w:val="20"/>
        </w:rPr>
        <w:t xml:space="preserve">predictions from </w:t>
      </w:r>
      <w:r w:rsidR="003C57AB" w:rsidRPr="003C57AB">
        <w:rPr>
          <w:bCs/>
          <w:color w:val="000000" w:themeColor="text1"/>
          <w:sz w:val="20"/>
          <w:szCs w:val="20"/>
        </w:rPr>
        <w:t>Williams (2007)</w:t>
      </w:r>
      <w:r w:rsidR="003C57AB">
        <w:rPr>
          <w:bCs/>
          <w:color w:val="000000" w:themeColor="text1"/>
          <w:sz w:val="20"/>
          <w:szCs w:val="20"/>
        </w:rPr>
        <w:t>.</w:t>
      </w:r>
      <w:r w:rsidR="003C57AB" w:rsidRPr="003C57AB">
        <w:rPr>
          <w:bCs/>
          <w:color w:val="000000" w:themeColor="text1"/>
          <w:sz w:val="20"/>
          <w:szCs w:val="20"/>
        </w:rPr>
        <w:t xml:space="preserve"> </w:t>
      </w:r>
      <w:r w:rsidR="003C57AB" w:rsidRPr="00D35F39">
        <w:rPr>
          <w:bCs/>
          <w:color w:val="000000" w:themeColor="text1"/>
          <w:sz w:val="20"/>
          <w:szCs w:val="20"/>
        </w:rPr>
        <w:t xml:space="preserve"> </w:t>
      </w:r>
      <w:r w:rsidR="002158E0">
        <w:rPr>
          <w:bCs/>
          <w:color w:val="000000" w:themeColor="text1"/>
          <w:sz w:val="20"/>
          <w:szCs w:val="20"/>
        </w:rPr>
        <w:t xml:space="preserve"> </w:t>
      </w:r>
      <w:r w:rsidRPr="00D35F39">
        <w:rPr>
          <w:bCs/>
          <w:color w:val="000000" w:themeColor="text1"/>
          <w:sz w:val="20"/>
          <w:szCs w:val="20"/>
        </w:rPr>
        <w:t xml:space="preserve">The SCRIBE model </w:t>
      </w:r>
      <w:r w:rsidR="00C77020">
        <w:rPr>
          <w:bCs/>
          <w:color w:val="000000" w:themeColor="text1"/>
          <w:sz w:val="20"/>
          <w:szCs w:val="20"/>
        </w:rPr>
        <w:t>differentiates</w:t>
      </w:r>
      <w:r w:rsidRPr="00D35F39">
        <w:rPr>
          <w:bCs/>
          <w:color w:val="000000" w:themeColor="text1"/>
          <w:sz w:val="20"/>
          <w:szCs w:val="20"/>
        </w:rPr>
        <w:t>PM</w:t>
      </w:r>
      <w:r w:rsidRPr="00D35F39">
        <w:rPr>
          <w:bCs/>
          <w:color w:val="000000" w:themeColor="text1"/>
          <w:sz w:val="20"/>
          <w:szCs w:val="20"/>
          <w:vertAlign w:val="subscript"/>
        </w:rPr>
        <w:t xml:space="preserve">2.5 </w:t>
      </w:r>
      <w:r w:rsidRPr="00D35F39">
        <w:rPr>
          <w:bCs/>
          <w:color w:val="000000" w:themeColor="text1"/>
          <w:sz w:val="20"/>
          <w:szCs w:val="20"/>
        </w:rPr>
        <w:t xml:space="preserve">from indoor and outdoor sources due to </w:t>
      </w:r>
      <w:r w:rsidR="003C57AB" w:rsidRPr="003C57AB">
        <w:rPr>
          <w:bCs/>
          <w:color w:val="000000" w:themeColor="text1"/>
          <w:sz w:val="20"/>
          <w:szCs w:val="20"/>
        </w:rPr>
        <w:t>difference</w:t>
      </w:r>
      <w:r w:rsidR="00C77020">
        <w:rPr>
          <w:bCs/>
          <w:color w:val="000000" w:themeColor="text1"/>
          <w:sz w:val="20"/>
          <w:szCs w:val="20"/>
        </w:rPr>
        <w:t>s</w:t>
      </w:r>
      <w:r w:rsidR="003C57AB" w:rsidRPr="003C57AB">
        <w:rPr>
          <w:bCs/>
          <w:color w:val="000000" w:themeColor="text1"/>
          <w:sz w:val="20"/>
          <w:szCs w:val="20"/>
        </w:rPr>
        <w:t xml:space="preserve"> in </w:t>
      </w:r>
      <w:r w:rsidR="00C77020">
        <w:rPr>
          <w:bCs/>
          <w:color w:val="000000" w:themeColor="text1"/>
          <w:sz w:val="20"/>
          <w:szCs w:val="20"/>
        </w:rPr>
        <w:t>particle nature</w:t>
      </w:r>
      <w:r w:rsidR="003C57AB" w:rsidRPr="003C57AB">
        <w:rPr>
          <w:bCs/>
          <w:color w:val="000000" w:themeColor="text1"/>
          <w:sz w:val="20"/>
          <w:szCs w:val="20"/>
        </w:rPr>
        <w:t xml:space="preserve"> </w:t>
      </w:r>
      <w:r w:rsidR="003C57AB">
        <w:rPr>
          <w:bCs/>
          <w:color w:val="000000" w:themeColor="text1"/>
          <w:sz w:val="20"/>
          <w:szCs w:val="20"/>
        </w:rPr>
        <w:t>and</w:t>
      </w:r>
      <w:r w:rsidR="003C57AB" w:rsidRPr="00D35F39">
        <w:rPr>
          <w:bCs/>
          <w:color w:val="000000" w:themeColor="text1"/>
          <w:sz w:val="20"/>
          <w:szCs w:val="20"/>
        </w:rPr>
        <w:t xml:space="preserve"> </w:t>
      </w:r>
      <w:r w:rsidR="003C57AB" w:rsidRPr="003C57AB">
        <w:rPr>
          <w:bCs/>
          <w:color w:val="000000" w:themeColor="text1"/>
          <w:sz w:val="20"/>
          <w:szCs w:val="20"/>
        </w:rPr>
        <w:t>potential (but largely unquantified) relative toxicity, which are sufficiently great as to require separate consideration</w:t>
      </w:r>
      <w:r w:rsidR="003C57AB">
        <w:rPr>
          <w:bCs/>
          <w:color w:val="000000" w:themeColor="text1"/>
          <w:sz w:val="20"/>
          <w:szCs w:val="20"/>
        </w:rPr>
        <w:t xml:space="preserve"> </w:t>
      </w:r>
      <w:r w:rsidR="008F735E">
        <w:rPr>
          <w:bCs/>
          <w:color w:val="000000" w:themeColor="text1"/>
          <w:sz w:val="20"/>
          <w:szCs w:val="20"/>
        </w:rPr>
        <w:t>(</w:t>
      </w:r>
      <w:r w:rsidR="008F735E" w:rsidRPr="008F735E">
        <w:rPr>
          <w:bCs/>
          <w:color w:val="000000" w:themeColor="text1"/>
          <w:sz w:val="20"/>
          <w:szCs w:val="20"/>
        </w:rPr>
        <w:t>Rohr and Wyzga, 2012</w:t>
      </w:r>
      <w:r w:rsidR="00945CDE">
        <w:rPr>
          <w:bCs/>
          <w:color w:val="000000" w:themeColor="text1"/>
          <w:sz w:val="20"/>
          <w:szCs w:val="20"/>
        </w:rPr>
        <w:t>)giving</w:t>
      </w:r>
      <w:r w:rsidR="003C57AB" w:rsidRPr="003C57AB">
        <w:rPr>
          <w:bCs/>
          <w:color w:val="000000" w:themeColor="text1"/>
          <w:sz w:val="20"/>
          <w:szCs w:val="20"/>
        </w:rPr>
        <w:t xml:space="preserve"> health impact assessments the opportunity to distinguish relative risks to population health</w:t>
      </w:r>
      <w:r w:rsidR="008F735E">
        <w:rPr>
          <w:bCs/>
          <w:color w:val="000000" w:themeColor="text1"/>
          <w:sz w:val="20"/>
          <w:szCs w:val="20"/>
        </w:rPr>
        <w:t>.</w:t>
      </w:r>
    </w:p>
    <w:p w14:paraId="02D4CCEA" w14:textId="12FA41A6" w:rsidR="00DD68D5" w:rsidRPr="00D35F39" w:rsidRDefault="00B22208" w:rsidP="00DD68D5">
      <w:pPr>
        <w:spacing w:after="0" w:line="480" w:lineRule="auto"/>
        <w:contextualSpacing/>
        <w:divId w:val="434059591"/>
        <w:rPr>
          <w:bCs/>
          <w:color w:val="000000" w:themeColor="text1"/>
          <w:sz w:val="20"/>
          <w:szCs w:val="20"/>
        </w:rPr>
      </w:pPr>
      <w:r w:rsidRPr="00D35F39">
        <w:rPr>
          <w:bCs/>
          <w:color w:val="000000" w:themeColor="text1"/>
          <w:sz w:val="20"/>
          <w:szCs w:val="20"/>
        </w:rPr>
        <w:t xml:space="preserve">Radon exposures are informed by the national distribution reported in Gray </w:t>
      </w:r>
      <w:r>
        <w:rPr>
          <w:bCs/>
          <w:color w:val="000000" w:themeColor="text1"/>
          <w:sz w:val="20"/>
          <w:szCs w:val="20"/>
        </w:rPr>
        <w:t>(</w:t>
      </w:r>
      <w:r w:rsidRPr="00D35F39">
        <w:rPr>
          <w:bCs/>
          <w:color w:val="000000" w:themeColor="text1"/>
          <w:sz w:val="20"/>
          <w:szCs w:val="20"/>
        </w:rPr>
        <w:t>2009</w:t>
      </w:r>
      <w:r>
        <w:rPr>
          <w:bCs/>
          <w:color w:val="000000" w:themeColor="text1"/>
          <w:sz w:val="20"/>
          <w:szCs w:val="20"/>
        </w:rPr>
        <w:t>)</w:t>
      </w:r>
      <w:r w:rsidRPr="00D35F39">
        <w:rPr>
          <w:bCs/>
          <w:color w:val="000000" w:themeColor="text1"/>
          <w:sz w:val="20"/>
          <w:szCs w:val="20"/>
        </w:rPr>
        <w:t xml:space="preserve"> and adapted to allow for regional d</w:t>
      </w:r>
      <w:r>
        <w:rPr>
          <w:bCs/>
          <w:color w:val="000000" w:themeColor="text1"/>
          <w:sz w:val="20"/>
          <w:szCs w:val="20"/>
        </w:rPr>
        <w:t>ifferences in emission rates</w:t>
      </w:r>
      <w:r w:rsidRPr="00D35F39">
        <w:rPr>
          <w:bCs/>
          <w:color w:val="000000" w:themeColor="text1"/>
          <w:sz w:val="20"/>
          <w:szCs w:val="20"/>
        </w:rPr>
        <w:t xml:space="preserve"> (HPA, 2011). </w:t>
      </w:r>
      <w:r w:rsidR="00945CDE">
        <w:rPr>
          <w:bCs/>
          <w:color w:val="000000" w:themeColor="text1"/>
          <w:sz w:val="20"/>
          <w:szCs w:val="20"/>
        </w:rPr>
        <w:t xml:space="preserve">Due to </w:t>
      </w:r>
      <w:r w:rsidR="009B0861">
        <w:rPr>
          <w:bCs/>
          <w:color w:val="000000" w:themeColor="text1"/>
          <w:sz w:val="20"/>
          <w:szCs w:val="20"/>
        </w:rPr>
        <w:t>low levels of radon in London and Milton Keynes</w:t>
      </w:r>
      <w:r w:rsidR="00C77020">
        <w:rPr>
          <w:bCs/>
          <w:color w:val="000000" w:themeColor="text1"/>
          <w:sz w:val="20"/>
          <w:szCs w:val="20"/>
        </w:rPr>
        <w:t xml:space="preserve"> - geome</w:t>
      </w:r>
      <w:r w:rsidR="006F2B37">
        <w:rPr>
          <w:bCs/>
          <w:color w:val="000000" w:themeColor="text1"/>
          <w:sz w:val="20"/>
          <w:szCs w:val="20"/>
        </w:rPr>
        <w:t>tric mean</w:t>
      </w:r>
      <w:r w:rsidR="00C77020">
        <w:rPr>
          <w:bCs/>
          <w:color w:val="000000" w:themeColor="text1"/>
          <w:sz w:val="20"/>
          <w:szCs w:val="20"/>
        </w:rPr>
        <w:t xml:space="preserve">s </w:t>
      </w:r>
      <w:r w:rsidR="006F2B37">
        <w:rPr>
          <w:bCs/>
          <w:color w:val="000000" w:themeColor="text1"/>
          <w:sz w:val="20"/>
          <w:szCs w:val="20"/>
        </w:rPr>
        <w:t>16 and 43 Bq/m</w:t>
      </w:r>
      <w:r w:rsidR="006F2B37" w:rsidRPr="00A36F73">
        <w:rPr>
          <w:bCs/>
          <w:color w:val="000000" w:themeColor="text1"/>
          <w:sz w:val="20"/>
          <w:szCs w:val="20"/>
          <w:vertAlign w:val="superscript"/>
        </w:rPr>
        <w:t>3</w:t>
      </w:r>
      <w:r w:rsidR="006F2B37">
        <w:rPr>
          <w:bCs/>
          <w:color w:val="000000" w:themeColor="text1"/>
          <w:sz w:val="20"/>
          <w:szCs w:val="20"/>
          <w:vertAlign w:val="superscript"/>
        </w:rPr>
        <w:t xml:space="preserve"> </w:t>
      </w:r>
      <w:r w:rsidR="006F2B37">
        <w:rPr>
          <w:bCs/>
          <w:color w:val="000000" w:themeColor="text1"/>
          <w:sz w:val="20"/>
          <w:szCs w:val="20"/>
        </w:rPr>
        <w:t>respectively</w:t>
      </w:r>
      <w:r w:rsidR="00B35A8D">
        <w:rPr>
          <w:bCs/>
          <w:color w:val="000000" w:themeColor="text1"/>
          <w:sz w:val="20"/>
          <w:szCs w:val="20"/>
        </w:rPr>
        <w:t xml:space="preserve"> (HP, 2011</w:t>
      </w:r>
      <w:r w:rsidR="006F2B37">
        <w:rPr>
          <w:bCs/>
          <w:color w:val="000000" w:themeColor="text1"/>
          <w:sz w:val="20"/>
          <w:szCs w:val="20"/>
        </w:rPr>
        <w:t>)</w:t>
      </w:r>
      <w:r w:rsidR="00C77020">
        <w:rPr>
          <w:bCs/>
          <w:color w:val="000000" w:themeColor="text1"/>
          <w:sz w:val="20"/>
          <w:szCs w:val="20"/>
        </w:rPr>
        <w:t xml:space="preserve"> -</w:t>
      </w:r>
      <w:r w:rsidR="006F2B37">
        <w:rPr>
          <w:bCs/>
          <w:color w:val="000000" w:themeColor="text1"/>
          <w:sz w:val="20"/>
          <w:szCs w:val="20"/>
        </w:rPr>
        <w:t xml:space="preserve"> we have not proposed any </w:t>
      </w:r>
      <w:r w:rsidR="00B35A8D">
        <w:rPr>
          <w:bCs/>
          <w:color w:val="000000" w:themeColor="text1"/>
          <w:sz w:val="20"/>
          <w:szCs w:val="20"/>
        </w:rPr>
        <w:t xml:space="preserve">specific </w:t>
      </w:r>
      <w:r w:rsidR="00A36F73">
        <w:rPr>
          <w:bCs/>
          <w:color w:val="000000" w:themeColor="text1"/>
          <w:sz w:val="20"/>
          <w:szCs w:val="20"/>
        </w:rPr>
        <w:t xml:space="preserve">radon </w:t>
      </w:r>
      <w:r w:rsidR="00B35A8D">
        <w:rPr>
          <w:bCs/>
          <w:color w:val="000000" w:themeColor="text1"/>
          <w:sz w:val="20"/>
          <w:szCs w:val="20"/>
        </w:rPr>
        <w:t>remediation measures in our modelling.</w:t>
      </w:r>
      <w:r w:rsidR="009B0861">
        <w:rPr>
          <w:bCs/>
          <w:color w:val="000000" w:themeColor="text1"/>
          <w:sz w:val="20"/>
          <w:szCs w:val="20"/>
        </w:rPr>
        <w:t xml:space="preserve"> </w:t>
      </w:r>
      <w:r w:rsidRPr="00D35F39">
        <w:rPr>
          <w:bCs/>
          <w:color w:val="000000" w:themeColor="text1"/>
          <w:sz w:val="20"/>
          <w:szCs w:val="20"/>
        </w:rPr>
        <w:t xml:space="preserve">Smoking levels are informed by NHS, 2011. </w:t>
      </w:r>
      <w:r>
        <w:rPr>
          <w:bCs/>
          <w:color w:val="000000" w:themeColor="text1"/>
          <w:sz w:val="20"/>
          <w:szCs w:val="20"/>
        </w:rPr>
        <w:t xml:space="preserve">No </w:t>
      </w:r>
      <w:r w:rsidRPr="00D35F39">
        <w:rPr>
          <w:bCs/>
          <w:color w:val="000000" w:themeColor="text1"/>
          <w:sz w:val="20"/>
          <w:szCs w:val="20"/>
        </w:rPr>
        <w:t xml:space="preserve">account is taken of </w:t>
      </w:r>
      <w:r>
        <w:rPr>
          <w:bCs/>
          <w:color w:val="000000" w:themeColor="text1"/>
          <w:sz w:val="20"/>
          <w:szCs w:val="20"/>
        </w:rPr>
        <w:t xml:space="preserve">any </w:t>
      </w:r>
      <w:r w:rsidRPr="00D35F39">
        <w:rPr>
          <w:bCs/>
          <w:color w:val="000000" w:themeColor="text1"/>
          <w:sz w:val="20"/>
          <w:szCs w:val="20"/>
        </w:rPr>
        <w:t xml:space="preserve">future </w:t>
      </w:r>
      <w:r>
        <w:rPr>
          <w:bCs/>
          <w:color w:val="000000" w:themeColor="text1"/>
          <w:sz w:val="20"/>
          <w:szCs w:val="20"/>
        </w:rPr>
        <w:t>changes</w:t>
      </w:r>
      <w:r w:rsidRPr="00D35F39">
        <w:rPr>
          <w:bCs/>
          <w:color w:val="000000" w:themeColor="text1"/>
          <w:sz w:val="20"/>
          <w:szCs w:val="20"/>
        </w:rPr>
        <w:t xml:space="preserve"> in smoking prevalence</w:t>
      </w:r>
      <w:r w:rsidR="002769EC">
        <w:rPr>
          <w:bCs/>
          <w:color w:val="000000" w:themeColor="text1"/>
          <w:sz w:val="20"/>
          <w:szCs w:val="20"/>
        </w:rPr>
        <w:t>,</w:t>
      </w:r>
      <w:r w:rsidRPr="00D35F39">
        <w:rPr>
          <w:bCs/>
          <w:color w:val="000000" w:themeColor="text1"/>
          <w:sz w:val="20"/>
          <w:szCs w:val="20"/>
        </w:rPr>
        <w:t xml:space="preserve"> or outdoor smoking behaviour that may influence </w:t>
      </w:r>
      <w:r>
        <w:rPr>
          <w:bCs/>
          <w:color w:val="000000" w:themeColor="text1"/>
          <w:sz w:val="20"/>
          <w:szCs w:val="20"/>
        </w:rPr>
        <w:t xml:space="preserve">exposure for </w:t>
      </w:r>
      <w:r w:rsidRPr="00D35F39">
        <w:rPr>
          <w:bCs/>
          <w:color w:val="000000" w:themeColor="text1"/>
          <w:sz w:val="20"/>
          <w:szCs w:val="20"/>
        </w:rPr>
        <w:t xml:space="preserve">non-smokers in smoking households. Indoor pollution emission profiles are </w:t>
      </w:r>
      <w:r>
        <w:rPr>
          <w:bCs/>
          <w:color w:val="000000" w:themeColor="text1"/>
          <w:sz w:val="20"/>
          <w:szCs w:val="20"/>
        </w:rPr>
        <w:t xml:space="preserve">derived </w:t>
      </w:r>
      <w:r w:rsidRPr="00D35F39">
        <w:rPr>
          <w:bCs/>
          <w:color w:val="000000" w:themeColor="text1"/>
          <w:sz w:val="20"/>
          <w:szCs w:val="20"/>
        </w:rPr>
        <w:t xml:space="preserve">from empirical studies (Table 2). </w:t>
      </w:r>
      <w:r>
        <w:rPr>
          <w:bCs/>
          <w:color w:val="000000" w:themeColor="text1"/>
          <w:sz w:val="20"/>
          <w:szCs w:val="20"/>
        </w:rPr>
        <w:t>Within the CONTAM modelling e</w:t>
      </w:r>
      <w:r w:rsidRPr="00D35F39">
        <w:rPr>
          <w:bCs/>
          <w:color w:val="000000" w:themeColor="text1"/>
          <w:sz w:val="20"/>
          <w:szCs w:val="20"/>
        </w:rPr>
        <w:t>ach pollutant has a defined source and emission period: indoor PM</w:t>
      </w:r>
      <w:r w:rsidRPr="00D35F39">
        <w:rPr>
          <w:bCs/>
          <w:color w:val="000000" w:themeColor="text1"/>
          <w:sz w:val="20"/>
          <w:szCs w:val="20"/>
          <w:vertAlign w:val="subscript"/>
        </w:rPr>
        <w:t>2.5</w:t>
      </w:r>
      <w:r w:rsidRPr="00D35F39">
        <w:rPr>
          <w:bCs/>
          <w:color w:val="000000" w:themeColor="text1"/>
          <w:sz w:val="20"/>
          <w:szCs w:val="20"/>
        </w:rPr>
        <w:t xml:space="preserve"> is a function of occupancy and cooking; </w:t>
      </w:r>
      <w:r w:rsidRPr="00D35F39">
        <w:rPr>
          <w:bCs/>
          <w:color w:val="000000" w:themeColor="text1"/>
          <w:sz w:val="20"/>
          <w:szCs w:val="20"/>
        </w:rPr>
        <w:lastRenderedPageBreak/>
        <w:t xml:space="preserve">moisture is a function of occupancy and bathroom use; and ETS is a function of occupancy, with weekend and weekday occupancy profiles differing. Readers are </w:t>
      </w:r>
      <w:r w:rsidR="00F73261">
        <w:rPr>
          <w:bCs/>
          <w:color w:val="000000" w:themeColor="text1"/>
          <w:sz w:val="20"/>
          <w:szCs w:val="20"/>
        </w:rPr>
        <w:t xml:space="preserve">directed to the on-line supplementary data accompanying this study for </w:t>
      </w:r>
      <w:r w:rsidR="001E3C1A">
        <w:rPr>
          <w:bCs/>
          <w:color w:val="000000" w:themeColor="text1"/>
          <w:sz w:val="20"/>
          <w:szCs w:val="20"/>
        </w:rPr>
        <w:t>full</w:t>
      </w:r>
      <w:r w:rsidR="00F73261">
        <w:rPr>
          <w:bCs/>
          <w:color w:val="000000" w:themeColor="text1"/>
          <w:sz w:val="20"/>
          <w:szCs w:val="20"/>
        </w:rPr>
        <w:t xml:space="preserve"> details. </w:t>
      </w:r>
    </w:p>
    <w:p w14:paraId="25C576F7" w14:textId="77777777" w:rsidR="0000260A" w:rsidRPr="00D35F39" w:rsidRDefault="0000260A" w:rsidP="00B22208">
      <w:pPr>
        <w:overflowPunct w:val="0"/>
        <w:autoSpaceDE w:val="0"/>
        <w:autoSpaceDN w:val="0"/>
        <w:adjustRightInd w:val="0"/>
        <w:spacing w:after="0" w:line="480" w:lineRule="auto"/>
        <w:divId w:val="434059591"/>
        <w:rPr>
          <w:bCs/>
          <w:color w:val="000000" w:themeColor="text1"/>
          <w:sz w:val="20"/>
          <w:szCs w:val="20"/>
        </w:rPr>
      </w:pPr>
    </w:p>
    <w:p w14:paraId="1C967431" w14:textId="77777777" w:rsidR="00B22208" w:rsidRPr="00D35F39" w:rsidRDefault="00B22208" w:rsidP="00B22208">
      <w:pPr>
        <w:spacing w:after="0" w:line="480" w:lineRule="auto"/>
        <w:contextualSpacing/>
        <w:jc w:val="left"/>
        <w:divId w:val="434059591"/>
        <w:rPr>
          <w:b/>
          <w:color w:val="000000" w:themeColor="text1"/>
          <w:sz w:val="20"/>
          <w:szCs w:val="20"/>
        </w:rPr>
      </w:pPr>
      <w:r w:rsidRPr="00D35F39">
        <w:rPr>
          <w:b/>
          <w:color w:val="000000" w:themeColor="text1"/>
          <w:sz w:val="20"/>
          <w:szCs w:val="20"/>
        </w:rPr>
        <w:t>Table 2</w:t>
      </w:r>
    </w:p>
    <w:p w14:paraId="12B87618" w14:textId="77777777" w:rsidR="00197E4C" w:rsidRDefault="00197E4C" w:rsidP="005B287A">
      <w:pPr>
        <w:spacing w:after="0" w:line="480" w:lineRule="auto"/>
        <w:contextualSpacing/>
        <w:divId w:val="434059591"/>
        <w:rPr>
          <w:rFonts w:eastAsia="Times New Roman"/>
          <w:bCs/>
          <w:i/>
          <w:color w:val="000000" w:themeColor="text1"/>
          <w:sz w:val="20"/>
          <w:szCs w:val="20"/>
          <w:lang w:eastAsia="en-GB"/>
        </w:rPr>
      </w:pPr>
    </w:p>
    <w:p w14:paraId="5FF19848" w14:textId="1277DC27" w:rsidR="008F3E74" w:rsidRPr="00D35F39" w:rsidRDefault="00AA716D" w:rsidP="005B287A">
      <w:pPr>
        <w:spacing w:after="0" w:line="480" w:lineRule="auto"/>
        <w:contextualSpacing/>
        <w:divId w:val="434059591"/>
        <w:rPr>
          <w:rFonts w:eastAsia="Times New Roman"/>
          <w:bCs/>
          <w:i/>
          <w:color w:val="000000" w:themeColor="text1"/>
          <w:sz w:val="20"/>
          <w:szCs w:val="20"/>
          <w:lang w:eastAsia="en-GB"/>
        </w:rPr>
      </w:pPr>
      <w:r w:rsidRPr="00D35F39">
        <w:rPr>
          <w:rFonts w:eastAsia="Times New Roman"/>
          <w:bCs/>
          <w:i/>
          <w:color w:val="000000" w:themeColor="text1"/>
          <w:sz w:val="20"/>
          <w:szCs w:val="20"/>
          <w:lang w:eastAsia="en-GB"/>
        </w:rPr>
        <w:t>2.</w:t>
      </w:r>
      <w:r w:rsidR="005177EA" w:rsidRPr="00D35F39">
        <w:rPr>
          <w:rFonts w:eastAsia="Times New Roman"/>
          <w:bCs/>
          <w:i/>
          <w:color w:val="000000" w:themeColor="text1"/>
          <w:sz w:val="20"/>
          <w:szCs w:val="20"/>
          <w:lang w:eastAsia="en-GB"/>
        </w:rPr>
        <w:t>4</w:t>
      </w:r>
      <w:r w:rsidRPr="00D35F39">
        <w:rPr>
          <w:rFonts w:eastAsia="Times New Roman"/>
          <w:bCs/>
          <w:i/>
          <w:color w:val="000000" w:themeColor="text1"/>
          <w:sz w:val="20"/>
          <w:szCs w:val="20"/>
          <w:lang w:eastAsia="en-GB"/>
        </w:rPr>
        <w:t xml:space="preserve">. </w:t>
      </w:r>
      <w:r w:rsidR="00B22208">
        <w:rPr>
          <w:rFonts w:eastAsia="Times New Roman"/>
          <w:bCs/>
          <w:i/>
          <w:color w:val="000000" w:themeColor="text1"/>
          <w:sz w:val="20"/>
          <w:szCs w:val="20"/>
          <w:lang w:eastAsia="en-GB"/>
        </w:rPr>
        <w:t xml:space="preserve">Modelling Changes in </w:t>
      </w:r>
      <w:r w:rsidR="00AF08EF">
        <w:rPr>
          <w:rFonts w:eastAsia="Times New Roman"/>
          <w:bCs/>
          <w:i/>
          <w:color w:val="000000" w:themeColor="text1"/>
          <w:sz w:val="20"/>
          <w:szCs w:val="20"/>
          <w:lang w:eastAsia="en-GB"/>
        </w:rPr>
        <w:t>Indo</w:t>
      </w:r>
      <w:r w:rsidR="005A378A">
        <w:rPr>
          <w:rFonts w:eastAsia="Times New Roman"/>
          <w:bCs/>
          <w:i/>
          <w:color w:val="000000" w:themeColor="text1"/>
          <w:sz w:val="20"/>
          <w:szCs w:val="20"/>
          <w:lang w:eastAsia="en-GB"/>
        </w:rPr>
        <w:t>or Air Temperature and Air Quality</w:t>
      </w:r>
    </w:p>
    <w:p w14:paraId="526BE1D7" w14:textId="7A74327A" w:rsidR="00E61E81" w:rsidRPr="00D35F39" w:rsidRDefault="00E61E81" w:rsidP="00E61E81">
      <w:pPr>
        <w:spacing w:after="0" w:line="480" w:lineRule="auto"/>
        <w:contextualSpacing/>
        <w:divId w:val="434059591"/>
        <w:rPr>
          <w:rFonts w:eastAsia="Times New Roman"/>
          <w:bCs/>
          <w:color w:val="000000" w:themeColor="text1"/>
          <w:sz w:val="20"/>
          <w:szCs w:val="20"/>
          <w:lang w:eastAsia="en-GB"/>
        </w:rPr>
      </w:pPr>
      <w:r w:rsidRPr="00D35F39">
        <w:rPr>
          <w:rFonts w:eastAsia="HGｺﾞｼｯｸE"/>
          <w:bCs/>
          <w:sz w:val="20"/>
          <w:szCs w:val="20"/>
        </w:rPr>
        <w:t>For London, existing energy and ventilation interventions are modelled directly from the English Housing Survey (EHS, 2012)</w:t>
      </w:r>
      <w:r w:rsidR="00C77020">
        <w:rPr>
          <w:rFonts w:eastAsia="HGｺﾞｼｯｸE"/>
          <w:bCs/>
          <w:sz w:val="20"/>
          <w:szCs w:val="20"/>
        </w:rPr>
        <w:t>, which</w:t>
      </w:r>
      <w:r w:rsidR="00955079">
        <w:rPr>
          <w:rFonts w:eastAsia="HGｺﾞｼｯｸE"/>
          <w:bCs/>
          <w:sz w:val="20"/>
          <w:szCs w:val="20"/>
        </w:rPr>
        <w:t xml:space="preserve"> </w:t>
      </w:r>
      <w:r w:rsidRPr="00D35F39">
        <w:rPr>
          <w:rFonts w:eastAsia="Times New Roman"/>
          <w:bCs/>
          <w:color w:val="000000" w:themeColor="text1"/>
          <w:sz w:val="20"/>
          <w:szCs w:val="20"/>
          <w:lang w:eastAsia="en-GB"/>
        </w:rPr>
        <w:t xml:space="preserve">comprises a representative sample of properties </w:t>
      </w:r>
      <w:r w:rsidR="00C67A13">
        <w:rPr>
          <w:rFonts w:eastAsia="Times New Roman"/>
          <w:bCs/>
          <w:color w:val="000000" w:themeColor="text1"/>
          <w:sz w:val="20"/>
          <w:szCs w:val="20"/>
          <w:lang w:eastAsia="en-GB"/>
        </w:rPr>
        <w:t xml:space="preserve">( </w:t>
      </w:r>
      <w:r w:rsidRPr="00D35F39">
        <w:rPr>
          <w:rFonts w:eastAsia="Times New Roman"/>
          <w:bCs/>
          <w:color w:val="000000" w:themeColor="text1"/>
          <w:sz w:val="20"/>
          <w:szCs w:val="20"/>
          <w:lang w:eastAsia="en-GB"/>
        </w:rPr>
        <w:t>16,150</w:t>
      </w:r>
      <w:r w:rsidR="00C67A13">
        <w:rPr>
          <w:rFonts w:eastAsia="Times New Roman"/>
          <w:bCs/>
          <w:color w:val="000000" w:themeColor="text1"/>
          <w:sz w:val="20"/>
          <w:szCs w:val="20"/>
          <w:lang w:eastAsia="en-GB"/>
        </w:rPr>
        <w:t xml:space="preserve"> surveyed</w:t>
      </w:r>
      <w:r w:rsidRPr="00D35F39">
        <w:rPr>
          <w:rFonts w:eastAsia="Times New Roman"/>
          <w:bCs/>
          <w:color w:val="000000" w:themeColor="text1"/>
          <w:sz w:val="20"/>
          <w:szCs w:val="20"/>
          <w:lang w:eastAsia="en-GB"/>
        </w:rPr>
        <w:t xml:space="preserve"> dwellings</w:t>
      </w:r>
      <w:r w:rsidR="00C67A13">
        <w:rPr>
          <w:rFonts w:eastAsia="Times New Roman"/>
          <w:bCs/>
          <w:color w:val="000000" w:themeColor="text1"/>
          <w:sz w:val="20"/>
          <w:szCs w:val="20"/>
          <w:lang w:eastAsia="en-GB"/>
        </w:rPr>
        <w:t xml:space="preserve">) </w:t>
      </w:r>
      <w:r w:rsidR="00F770A2">
        <w:rPr>
          <w:rFonts w:eastAsia="Times New Roman"/>
          <w:bCs/>
          <w:color w:val="000000" w:themeColor="text1"/>
          <w:sz w:val="20"/>
          <w:szCs w:val="20"/>
          <w:lang w:eastAsia="en-GB"/>
        </w:rPr>
        <w:t>with</w:t>
      </w:r>
      <w:r w:rsidR="00F770A2" w:rsidRPr="00D35F39">
        <w:rPr>
          <w:rFonts w:eastAsia="Times New Roman"/>
          <w:bCs/>
          <w:color w:val="000000" w:themeColor="text1"/>
          <w:sz w:val="20"/>
          <w:szCs w:val="20"/>
          <w:lang w:eastAsia="en-GB"/>
        </w:rPr>
        <w:t xml:space="preserve"> weights</w:t>
      </w:r>
      <w:r w:rsidRPr="00D35F39">
        <w:rPr>
          <w:rFonts w:eastAsia="Times New Roman"/>
          <w:bCs/>
          <w:color w:val="000000" w:themeColor="text1"/>
          <w:sz w:val="20"/>
          <w:szCs w:val="20"/>
          <w:lang w:eastAsia="en-GB"/>
        </w:rPr>
        <w:t xml:space="preserve"> for each dwelling </w:t>
      </w:r>
      <w:r w:rsidR="00C67A13">
        <w:rPr>
          <w:rFonts w:eastAsia="Times New Roman"/>
          <w:bCs/>
          <w:color w:val="000000" w:themeColor="text1"/>
          <w:sz w:val="20"/>
          <w:szCs w:val="20"/>
          <w:lang w:eastAsia="en-GB"/>
        </w:rPr>
        <w:t xml:space="preserve">variant </w:t>
      </w:r>
      <w:r w:rsidRPr="00D35F39">
        <w:rPr>
          <w:rFonts w:eastAsia="Times New Roman"/>
          <w:bCs/>
          <w:color w:val="000000" w:themeColor="text1"/>
          <w:sz w:val="20"/>
          <w:szCs w:val="20"/>
          <w:lang w:eastAsia="en-GB"/>
        </w:rPr>
        <w:t>which can be used to represent all households in England. Regional information enables London dwelling variants to be directly selected</w:t>
      </w:r>
      <w:r w:rsidR="00C67A13">
        <w:rPr>
          <w:rFonts w:eastAsia="Times New Roman"/>
          <w:bCs/>
          <w:color w:val="000000" w:themeColor="text1"/>
          <w:sz w:val="20"/>
          <w:szCs w:val="20"/>
          <w:lang w:eastAsia="en-GB"/>
        </w:rPr>
        <w:t xml:space="preserve"> and used in the modelling. The </w:t>
      </w:r>
      <w:r w:rsidR="00F770A2">
        <w:rPr>
          <w:rFonts w:eastAsia="Times New Roman"/>
          <w:bCs/>
          <w:color w:val="000000" w:themeColor="text1"/>
          <w:sz w:val="20"/>
          <w:szCs w:val="20"/>
          <w:lang w:eastAsia="en-GB"/>
        </w:rPr>
        <w:t>survey</w:t>
      </w:r>
      <w:r w:rsidR="00F770A2" w:rsidRPr="00D35F39">
        <w:rPr>
          <w:rFonts w:eastAsia="Times New Roman"/>
          <w:bCs/>
          <w:color w:val="000000" w:themeColor="text1"/>
          <w:sz w:val="20"/>
          <w:szCs w:val="20"/>
          <w:lang w:eastAsia="en-GB"/>
        </w:rPr>
        <w:t xml:space="preserve"> does</w:t>
      </w:r>
      <w:r w:rsidRPr="00D35F39">
        <w:rPr>
          <w:rFonts w:eastAsia="Times New Roman"/>
          <w:bCs/>
          <w:color w:val="000000" w:themeColor="text1"/>
          <w:sz w:val="20"/>
          <w:szCs w:val="20"/>
          <w:lang w:eastAsia="en-GB"/>
        </w:rPr>
        <w:t xml:space="preserve"> not </w:t>
      </w:r>
      <w:r w:rsidR="00C07DC4">
        <w:rPr>
          <w:rFonts w:eastAsia="Times New Roman"/>
          <w:bCs/>
          <w:color w:val="000000" w:themeColor="text1"/>
          <w:sz w:val="20"/>
          <w:szCs w:val="20"/>
          <w:lang w:eastAsia="en-GB"/>
        </w:rPr>
        <w:t xml:space="preserve">have a sufficient or identifiable sample for </w:t>
      </w:r>
      <w:r w:rsidR="00F770A2" w:rsidRPr="00D35F39">
        <w:rPr>
          <w:rFonts w:eastAsia="Times New Roman"/>
          <w:bCs/>
          <w:color w:val="000000" w:themeColor="text1"/>
          <w:sz w:val="20"/>
          <w:szCs w:val="20"/>
          <w:lang w:eastAsia="en-GB"/>
        </w:rPr>
        <w:t>Milton</w:t>
      </w:r>
      <w:r w:rsidRPr="00D35F39">
        <w:rPr>
          <w:rFonts w:eastAsia="Times New Roman"/>
          <w:bCs/>
          <w:color w:val="000000" w:themeColor="text1"/>
          <w:sz w:val="20"/>
          <w:szCs w:val="20"/>
          <w:lang w:eastAsia="en-GB"/>
        </w:rPr>
        <w:t xml:space="preserve"> </w:t>
      </w:r>
      <w:r w:rsidR="00F770A2" w:rsidRPr="00D35F39">
        <w:rPr>
          <w:rFonts w:eastAsia="Times New Roman"/>
          <w:bCs/>
          <w:color w:val="000000" w:themeColor="text1"/>
          <w:sz w:val="20"/>
          <w:szCs w:val="20"/>
          <w:lang w:eastAsia="en-GB"/>
        </w:rPr>
        <w:t>Keynes</w:t>
      </w:r>
      <w:r w:rsidR="00024301">
        <w:rPr>
          <w:rFonts w:eastAsia="Times New Roman"/>
          <w:bCs/>
          <w:color w:val="000000" w:themeColor="text1"/>
          <w:sz w:val="20"/>
          <w:szCs w:val="20"/>
          <w:lang w:eastAsia="en-GB"/>
        </w:rPr>
        <w:t>.D</w:t>
      </w:r>
      <w:r w:rsidR="00C07DC4">
        <w:rPr>
          <w:rFonts w:eastAsia="Times New Roman"/>
          <w:bCs/>
          <w:color w:val="000000" w:themeColor="text1"/>
          <w:sz w:val="20"/>
          <w:szCs w:val="20"/>
          <w:lang w:eastAsia="en-GB"/>
        </w:rPr>
        <w:t xml:space="preserve">wellings were </w:t>
      </w:r>
      <w:r w:rsidR="00024301">
        <w:rPr>
          <w:rFonts w:eastAsia="Times New Roman"/>
          <w:bCs/>
          <w:color w:val="000000" w:themeColor="text1"/>
          <w:sz w:val="20"/>
          <w:szCs w:val="20"/>
          <w:lang w:eastAsia="en-GB"/>
        </w:rPr>
        <w:t xml:space="preserve">therefore </w:t>
      </w:r>
      <w:r w:rsidR="00C07DC4">
        <w:rPr>
          <w:rFonts w:eastAsia="Times New Roman"/>
          <w:bCs/>
          <w:color w:val="000000" w:themeColor="text1"/>
          <w:sz w:val="20"/>
          <w:szCs w:val="20"/>
          <w:lang w:eastAsia="en-GB"/>
        </w:rPr>
        <w:t xml:space="preserve">simulated </w:t>
      </w:r>
      <w:r w:rsidR="003801B8">
        <w:rPr>
          <w:rFonts w:eastAsia="Times New Roman"/>
          <w:bCs/>
          <w:color w:val="000000" w:themeColor="text1"/>
          <w:sz w:val="20"/>
          <w:szCs w:val="20"/>
          <w:lang w:eastAsia="en-GB"/>
        </w:rPr>
        <w:t xml:space="preserve">by either </w:t>
      </w:r>
      <w:r w:rsidR="00955079">
        <w:rPr>
          <w:rFonts w:eastAsia="Times New Roman"/>
          <w:bCs/>
          <w:color w:val="000000" w:themeColor="text1"/>
          <w:sz w:val="20"/>
          <w:szCs w:val="20"/>
          <w:lang w:eastAsia="en-GB"/>
        </w:rPr>
        <w:t>using alternative</w:t>
      </w:r>
      <w:r w:rsidR="003801B8">
        <w:rPr>
          <w:rFonts w:eastAsia="Times New Roman"/>
          <w:bCs/>
          <w:color w:val="000000" w:themeColor="text1"/>
          <w:sz w:val="20"/>
          <w:szCs w:val="20"/>
          <w:lang w:eastAsia="en-GB"/>
        </w:rPr>
        <w:t xml:space="preserve"> empirical</w:t>
      </w:r>
      <w:r w:rsidR="003801B8" w:rsidRPr="00D35F39">
        <w:rPr>
          <w:rFonts w:eastAsia="Times New Roman"/>
          <w:bCs/>
          <w:color w:val="000000" w:themeColor="text1"/>
          <w:sz w:val="20"/>
          <w:szCs w:val="20"/>
          <w:lang w:eastAsia="en-GB"/>
        </w:rPr>
        <w:t xml:space="preserve"> data</w:t>
      </w:r>
      <w:r w:rsidR="003801B8">
        <w:rPr>
          <w:rFonts w:eastAsia="Times New Roman"/>
          <w:bCs/>
          <w:color w:val="000000" w:themeColor="text1"/>
          <w:sz w:val="20"/>
          <w:szCs w:val="20"/>
          <w:lang w:eastAsia="en-GB"/>
        </w:rPr>
        <w:t xml:space="preserve"> sets</w:t>
      </w:r>
      <w:r w:rsidR="003801B8" w:rsidRPr="00D35F39">
        <w:rPr>
          <w:rFonts w:eastAsia="Times New Roman"/>
          <w:bCs/>
          <w:color w:val="000000" w:themeColor="text1"/>
          <w:sz w:val="20"/>
          <w:szCs w:val="20"/>
          <w:lang w:eastAsia="en-GB"/>
        </w:rPr>
        <w:t xml:space="preserve"> for the variables required for SCRIBE; </w:t>
      </w:r>
      <w:r w:rsidR="003801B8" w:rsidRPr="00D35F39">
        <w:rPr>
          <w:rFonts w:eastAsia="HGｺﾞｼｯｸE"/>
          <w:bCs/>
          <w:sz w:val="20"/>
          <w:szCs w:val="20"/>
        </w:rPr>
        <w:t>for example</w:t>
      </w:r>
      <w:r w:rsidR="00945CDE">
        <w:rPr>
          <w:rFonts w:eastAsia="HGｺﾞｼｯｸE"/>
          <w:bCs/>
          <w:sz w:val="20"/>
          <w:szCs w:val="20"/>
        </w:rPr>
        <w:t xml:space="preserve"> the </w:t>
      </w:r>
      <w:r w:rsidR="003801B8" w:rsidRPr="00D35F39">
        <w:rPr>
          <w:rFonts w:eastAsia="HGｺﾞｼｯｸE"/>
          <w:bCs/>
          <w:sz w:val="20"/>
          <w:szCs w:val="20"/>
        </w:rPr>
        <w:t>range of existing interventions</w:t>
      </w:r>
      <w:r w:rsidR="003801B8">
        <w:rPr>
          <w:rFonts w:eastAsia="HGｺﾞｼｯｸE"/>
          <w:bCs/>
          <w:sz w:val="20"/>
          <w:szCs w:val="20"/>
        </w:rPr>
        <w:t xml:space="preserve"> and dwelling age and type</w:t>
      </w:r>
      <w:r w:rsidR="003801B8" w:rsidRPr="00D35F39">
        <w:rPr>
          <w:rFonts w:eastAsia="HGｺﾞｼｯｸE"/>
          <w:bCs/>
          <w:sz w:val="20"/>
          <w:szCs w:val="20"/>
        </w:rPr>
        <w:t xml:space="preserve"> (CSE, 2012; HECA, 2013; HEED, 2014</w:t>
      </w:r>
      <w:r w:rsidR="003801B8">
        <w:rPr>
          <w:rFonts w:eastAsia="HGｺﾞｼｯｸE"/>
          <w:bCs/>
          <w:sz w:val="20"/>
          <w:szCs w:val="20"/>
        </w:rPr>
        <w:t>; MKiO, 2014)</w:t>
      </w:r>
      <w:r w:rsidR="003801B8" w:rsidRPr="00D35F39">
        <w:rPr>
          <w:rFonts w:eastAsia="HGｺﾞｼｯｸE"/>
          <w:bCs/>
          <w:sz w:val="20"/>
          <w:szCs w:val="20"/>
        </w:rPr>
        <w:t>.</w:t>
      </w:r>
      <w:r w:rsidR="003801B8">
        <w:rPr>
          <w:rFonts w:eastAsia="HGｺﾞｼｯｸE"/>
          <w:bCs/>
          <w:sz w:val="20"/>
          <w:szCs w:val="20"/>
        </w:rPr>
        <w:t xml:space="preserve"> </w:t>
      </w:r>
      <w:r w:rsidR="003801B8" w:rsidRPr="00D35F39">
        <w:rPr>
          <w:rFonts w:eastAsia="Times New Roman"/>
          <w:bCs/>
          <w:color w:val="000000" w:themeColor="text1"/>
          <w:sz w:val="20"/>
          <w:szCs w:val="20"/>
          <w:lang w:eastAsia="en-GB"/>
        </w:rPr>
        <w:t>For the few remaining variables</w:t>
      </w:r>
      <w:r w:rsidR="003801B8">
        <w:rPr>
          <w:rFonts w:eastAsia="Times New Roman"/>
          <w:bCs/>
          <w:color w:val="000000" w:themeColor="text1"/>
          <w:sz w:val="20"/>
          <w:szCs w:val="20"/>
          <w:lang w:eastAsia="en-GB"/>
        </w:rPr>
        <w:t xml:space="preserve"> that were not available</w:t>
      </w:r>
      <w:r w:rsidR="003801B8" w:rsidRPr="00D35F39">
        <w:rPr>
          <w:rFonts w:eastAsia="Times New Roman"/>
          <w:bCs/>
          <w:color w:val="000000" w:themeColor="text1"/>
          <w:sz w:val="20"/>
          <w:szCs w:val="20"/>
          <w:lang w:eastAsia="en-GB"/>
        </w:rPr>
        <w:t>: (i)</w:t>
      </w:r>
      <w:r w:rsidR="003801B8">
        <w:rPr>
          <w:rFonts w:eastAsia="Times New Roman"/>
          <w:bCs/>
          <w:color w:val="000000" w:themeColor="text1"/>
          <w:sz w:val="20"/>
          <w:szCs w:val="20"/>
          <w:lang w:eastAsia="en-GB"/>
        </w:rPr>
        <w:t xml:space="preserve"> the</w:t>
      </w:r>
      <w:r w:rsidR="003801B8" w:rsidRPr="00D35F39">
        <w:rPr>
          <w:rFonts w:eastAsia="Times New Roman"/>
          <w:bCs/>
          <w:color w:val="000000" w:themeColor="text1"/>
          <w:sz w:val="20"/>
          <w:szCs w:val="20"/>
          <w:lang w:eastAsia="en-GB"/>
        </w:rPr>
        <w:t xml:space="preserve"> Standard Assessment Procedure</w:t>
      </w:r>
      <w:r w:rsidR="003801B8" w:rsidRPr="00D35F39">
        <w:rPr>
          <w:rStyle w:val="FootnoteReference"/>
          <w:rFonts w:eastAsia="Times New Roman"/>
          <w:bCs/>
          <w:color w:val="000000" w:themeColor="text1"/>
          <w:sz w:val="20"/>
          <w:szCs w:val="20"/>
          <w:lang w:eastAsia="en-GB"/>
        </w:rPr>
        <w:footnoteReference w:id="2"/>
      </w:r>
      <w:r w:rsidR="003801B8" w:rsidRPr="00D35F39">
        <w:rPr>
          <w:rFonts w:eastAsia="Times New Roman"/>
          <w:bCs/>
          <w:color w:val="000000" w:themeColor="text1"/>
          <w:sz w:val="20"/>
          <w:szCs w:val="20"/>
          <w:lang w:eastAsia="en-GB"/>
        </w:rPr>
        <w:t xml:space="preserve"> (SAP) rating, (ii) envelope permeability and (iii) ventilation type; the </w:t>
      </w:r>
      <w:r w:rsidR="003801B8" w:rsidRPr="00A36F73">
        <w:rPr>
          <w:rFonts w:eastAsia="Times New Roman"/>
          <w:bCs/>
          <w:i/>
          <w:color w:val="000000" w:themeColor="text1"/>
          <w:sz w:val="20"/>
          <w:szCs w:val="20"/>
          <w:lang w:eastAsia="en-GB"/>
        </w:rPr>
        <w:t>known</w:t>
      </w:r>
      <w:r w:rsidR="003801B8" w:rsidRPr="00D35F39">
        <w:rPr>
          <w:rFonts w:eastAsia="Times New Roman"/>
          <w:bCs/>
          <w:color w:val="000000" w:themeColor="text1"/>
          <w:sz w:val="20"/>
          <w:szCs w:val="20"/>
          <w:lang w:eastAsia="en-GB"/>
        </w:rPr>
        <w:t xml:space="preserve"> variables </w:t>
      </w:r>
      <w:r w:rsidR="003801B8">
        <w:rPr>
          <w:rFonts w:eastAsia="Times New Roman"/>
          <w:bCs/>
          <w:color w:val="000000" w:themeColor="text1"/>
          <w:sz w:val="20"/>
          <w:szCs w:val="20"/>
          <w:lang w:eastAsia="en-GB"/>
        </w:rPr>
        <w:t>w</w:t>
      </w:r>
      <w:r w:rsidR="003801B8" w:rsidRPr="00D35F39">
        <w:rPr>
          <w:rFonts w:eastAsia="Times New Roman"/>
          <w:bCs/>
          <w:color w:val="000000" w:themeColor="text1"/>
          <w:sz w:val="20"/>
          <w:szCs w:val="20"/>
          <w:lang w:eastAsia="en-GB"/>
        </w:rPr>
        <w:t xml:space="preserve">ere used to </w:t>
      </w:r>
      <w:r w:rsidR="00024301" w:rsidRPr="00024301">
        <w:rPr>
          <w:rFonts w:eastAsia="Times New Roman"/>
          <w:bCs/>
          <w:color w:val="000000" w:themeColor="text1"/>
          <w:sz w:val="20"/>
          <w:szCs w:val="20"/>
          <w:lang w:eastAsia="en-GB"/>
        </w:rPr>
        <w:t>calculate estimates for SAP rating and envelope permeability</w:t>
      </w:r>
      <w:r w:rsidR="00024301">
        <w:rPr>
          <w:rFonts w:eastAsia="Times New Roman"/>
          <w:bCs/>
          <w:color w:val="000000" w:themeColor="text1"/>
          <w:sz w:val="20"/>
          <w:szCs w:val="20"/>
          <w:lang w:eastAsia="en-GB"/>
        </w:rPr>
        <w:t>.</w:t>
      </w:r>
      <w:r w:rsidR="003801B8" w:rsidRPr="00D35F39">
        <w:rPr>
          <w:rFonts w:eastAsia="Times New Roman"/>
          <w:bCs/>
          <w:color w:val="000000" w:themeColor="text1"/>
          <w:sz w:val="20"/>
          <w:szCs w:val="20"/>
          <w:lang w:eastAsia="en-GB"/>
        </w:rPr>
        <w:t xml:space="preserve"> </w:t>
      </w:r>
      <w:r w:rsidR="003801B8">
        <w:rPr>
          <w:rFonts w:eastAsia="Times New Roman"/>
          <w:bCs/>
          <w:color w:val="000000" w:themeColor="text1"/>
          <w:sz w:val="20"/>
          <w:szCs w:val="20"/>
          <w:lang w:eastAsia="en-GB"/>
        </w:rPr>
        <w:t xml:space="preserve"> </w:t>
      </w:r>
      <w:r w:rsidR="003801B8" w:rsidRPr="00D35F39">
        <w:rPr>
          <w:rFonts w:eastAsia="Times New Roman"/>
          <w:bCs/>
          <w:color w:val="000000" w:themeColor="text1"/>
          <w:sz w:val="20"/>
          <w:szCs w:val="20"/>
          <w:lang w:eastAsia="en-GB"/>
        </w:rPr>
        <w:t xml:space="preserve">The </w:t>
      </w:r>
      <w:r w:rsidR="00024301" w:rsidRPr="00D35F39">
        <w:rPr>
          <w:rFonts w:eastAsia="Times New Roman"/>
          <w:bCs/>
          <w:color w:val="000000" w:themeColor="text1"/>
          <w:sz w:val="20"/>
          <w:szCs w:val="20"/>
          <w:lang w:eastAsia="en-GB"/>
        </w:rPr>
        <w:t xml:space="preserve">probability of </w:t>
      </w:r>
      <w:r w:rsidR="00024301">
        <w:rPr>
          <w:rFonts w:eastAsia="Times New Roman"/>
          <w:bCs/>
          <w:color w:val="000000" w:themeColor="text1"/>
          <w:sz w:val="20"/>
          <w:szCs w:val="20"/>
          <w:lang w:eastAsia="en-GB"/>
        </w:rPr>
        <w:t xml:space="preserve">occurrence in </w:t>
      </w:r>
      <w:r w:rsidR="00024301" w:rsidRPr="00D35F39">
        <w:rPr>
          <w:rFonts w:eastAsia="Times New Roman"/>
          <w:bCs/>
          <w:color w:val="000000" w:themeColor="text1"/>
          <w:sz w:val="20"/>
          <w:szCs w:val="20"/>
          <w:lang w:eastAsia="en-GB"/>
        </w:rPr>
        <w:t xml:space="preserve">each of the ~16,000 EHS variants </w:t>
      </w:r>
      <w:r w:rsidR="003801B8" w:rsidRPr="00D35F39">
        <w:rPr>
          <w:rFonts w:eastAsia="Times New Roman"/>
          <w:bCs/>
          <w:color w:val="000000" w:themeColor="text1"/>
          <w:sz w:val="20"/>
          <w:szCs w:val="20"/>
          <w:lang w:eastAsia="en-GB"/>
        </w:rPr>
        <w:t>were then used to randomly sample the Milton Keynes housing stock and scaled to the correct number of dwellings</w:t>
      </w:r>
      <w:r w:rsidR="00024301">
        <w:rPr>
          <w:rFonts w:eastAsia="Times New Roman"/>
          <w:bCs/>
          <w:color w:val="000000" w:themeColor="text1"/>
          <w:sz w:val="20"/>
          <w:szCs w:val="20"/>
          <w:lang w:eastAsia="en-GB"/>
        </w:rPr>
        <w:t>.</w:t>
      </w:r>
    </w:p>
    <w:p w14:paraId="7E952F65" w14:textId="48F46EEC" w:rsidR="00E61E81" w:rsidRPr="00CF3FC4" w:rsidRDefault="00E61E81" w:rsidP="00CF3FC4">
      <w:pPr>
        <w:spacing w:after="0" w:line="480" w:lineRule="auto"/>
        <w:divId w:val="434059591"/>
        <w:rPr>
          <w:rFonts w:eastAsia="Times New Roman"/>
          <w:bCs/>
          <w:color w:val="000000" w:themeColor="text1"/>
          <w:sz w:val="20"/>
          <w:szCs w:val="20"/>
          <w:lang w:eastAsia="en-GB"/>
        </w:rPr>
      </w:pPr>
    </w:p>
    <w:p w14:paraId="5AEB2011" w14:textId="5AF80D70" w:rsidR="00E61E81" w:rsidRDefault="006833E4" w:rsidP="00E61E81">
      <w:pPr>
        <w:overflowPunct w:val="0"/>
        <w:autoSpaceDE w:val="0"/>
        <w:autoSpaceDN w:val="0"/>
        <w:adjustRightInd w:val="0"/>
        <w:spacing w:after="0" w:line="480" w:lineRule="auto"/>
        <w:divId w:val="434059591"/>
        <w:rPr>
          <w:rFonts w:eastAsia="HGｺﾞｼｯｸE"/>
          <w:bCs/>
          <w:sz w:val="20"/>
          <w:szCs w:val="20"/>
        </w:rPr>
      </w:pPr>
      <w:r>
        <w:rPr>
          <w:rFonts w:eastAsia="HGｺﾞｼｯｸE"/>
          <w:bCs/>
          <w:sz w:val="20"/>
          <w:szCs w:val="20"/>
        </w:rPr>
        <w:t>The stock</w:t>
      </w:r>
      <w:r w:rsidRPr="006833E4">
        <w:rPr>
          <w:rFonts w:eastAsia="HGｺﾞｼｯｸE"/>
          <w:bCs/>
          <w:sz w:val="20"/>
          <w:szCs w:val="20"/>
        </w:rPr>
        <w:t xml:space="preserve"> modelling input variables and their ranges</w:t>
      </w:r>
      <w:r>
        <w:rPr>
          <w:rFonts w:eastAsia="HGｺﾞｼｯｸE"/>
          <w:bCs/>
          <w:sz w:val="20"/>
          <w:szCs w:val="20"/>
        </w:rPr>
        <w:t xml:space="preserve"> are shown in Table 3.</w:t>
      </w:r>
    </w:p>
    <w:p w14:paraId="6D5B563E" w14:textId="54DE191D" w:rsidR="006833E4" w:rsidRPr="002E1BDA" w:rsidRDefault="006833E4" w:rsidP="00E61E81">
      <w:pPr>
        <w:overflowPunct w:val="0"/>
        <w:autoSpaceDE w:val="0"/>
        <w:autoSpaceDN w:val="0"/>
        <w:adjustRightInd w:val="0"/>
        <w:spacing w:after="0" w:line="480" w:lineRule="auto"/>
        <w:divId w:val="434059591"/>
        <w:rPr>
          <w:rFonts w:eastAsia="HGｺﾞｼｯｸE"/>
          <w:b/>
          <w:bCs/>
          <w:sz w:val="20"/>
          <w:szCs w:val="20"/>
        </w:rPr>
      </w:pPr>
      <w:r w:rsidRPr="002E1BDA">
        <w:rPr>
          <w:rFonts w:eastAsia="HGｺﾞｼｯｸE"/>
          <w:b/>
          <w:bCs/>
          <w:sz w:val="20"/>
          <w:szCs w:val="20"/>
        </w:rPr>
        <w:t>Table 3</w:t>
      </w:r>
    </w:p>
    <w:p w14:paraId="6D0D6DA3" w14:textId="628BBFFE" w:rsidR="00CA1D61" w:rsidRDefault="00403725" w:rsidP="00CA1010">
      <w:pPr>
        <w:spacing w:after="0" w:line="480" w:lineRule="auto"/>
        <w:contextualSpacing/>
        <w:jc w:val="left"/>
        <w:divId w:val="434059591"/>
        <w:rPr>
          <w:b/>
          <w:color w:val="000000" w:themeColor="text1"/>
          <w:sz w:val="20"/>
          <w:szCs w:val="20"/>
        </w:rPr>
      </w:pPr>
      <w:r w:rsidRPr="00D35F39">
        <w:rPr>
          <w:bCs/>
          <w:color w:val="000000" w:themeColor="text1"/>
          <w:sz w:val="20"/>
          <w:szCs w:val="20"/>
        </w:rPr>
        <w:t xml:space="preserve">The building efficiency module estimates </w:t>
      </w:r>
      <w:r w:rsidR="00675AD5" w:rsidRPr="00D35F39">
        <w:rPr>
          <w:bCs/>
          <w:color w:val="000000" w:themeColor="text1"/>
          <w:sz w:val="20"/>
          <w:szCs w:val="20"/>
        </w:rPr>
        <w:t xml:space="preserve">envelope </w:t>
      </w:r>
      <w:r w:rsidRPr="00D35F39">
        <w:rPr>
          <w:bCs/>
          <w:color w:val="000000" w:themeColor="text1"/>
          <w:sz w:val="20"/>
          <w:szCs w:val="20"/>
        </w:rPr>
        <w:t xml:space="preserve">permeability and heat loss </w:t>
      </w:r>
      <w:r w:rsidR="00675AD5" w:rsidRPr="00D35F39">
        <w:rPr>
          <w:bCs/>
          <w:color w:val="000000" w:themeColor="text1"/>
          <w:sz w:val="20"/>
          <w:szCs w:val="20"/>
        </w:rPr>
        <w:t>resulting</w:t>
      </w:r>
      <w:r w:rsidRPr="00D35F39">
        <w:rPr>
          <w:bCs/>
          <w:color w:val="000000" w:themeColor="text1"/>
          <w:sz w:val="20"/>
          <w:szCs w:val="20"/>
        </w:rPr>
        <w:t xml:space="preserve"> </w:t>
      </w:r>
      <w:r w:rsidR="00675AD5" w:rsidRPr="00D35F39">
        <w:rPr>
          <w:bCs/>
          <w:color w:val="000000" w:themeColor="text1"/>
          <w:sz w:val="20"/>
          <w:szCs w:val="20"/>
        </w:rPr>
        <w:t>from</w:t>
      </w:r>
      <w:r w:rsidRPr="00D35F39">
        <w:rPr>
          <w:bCs/>
          <w:color w:val="000000" w:themeColor="text1"/>
          <w:sz w:val="20"/>
          <w:szCs w:val="20"/>
        </w:rPr>
        <w:t xml:space="preserve"> </w:t>
      </w:r>
      <w:r w:rsidR="00675AD5" w:rsidRPr="00D35F39">
        <w:rPr>
          <w:bCs/>
          <w:color w:val="000000" w:themeColor="text1"/>
          <w:sz w:val="20"/>
          <w:szCs w:val="20"/>
        </w:rPr>
        <w:t xml:space="preserve">fabric </w:t>
      </w:r>
      <w:r w:rsidRPr="00D35F39">
        <w:rPr>
          <w:bCs/>
          <w:color w:val="000000" w:themeColor="text1"/>
          <w:sz w:val="20"/>
          <w:szCs w:val="20"/>
        </w:rPr>
        <w:t xml:space="preserve">performance, heating system and ventilation </w:t>
      </w:r>
      <w:r w:rsidRPr="003D4317">
        <w:rPr>
          <w:color w:val="000000" w:themeColor="text1"/>
          <w:sz w:val="20"/>
        </w:rPr>
        <w:t>characteristics</w:t>
      </w:r>
      <w:r w:rsidRPr="00D35F39">
        <w:rPr>
          <w:bCs/>
          <w:color w:val="000000" w:themeColor="text1"/>
          <w:sz w:val="20"/>
          <w:szCs w:val="20"/>
        </w:rPr>
        <w:t xml:space="preserve">. A conversion process uses EHS variables to infer features, such as dwelling geometry and </w:t>
      </w:r>
      <w:r w:rsidR="0078165E" w:rsidRPr="00D35F39">
        <w:rPr>
          <w:bCs/>
          <w:color w:val="000000" w:themeColor="text1"/>
          <w:sz w:val="20"/>
          <w:szCs w:val="20"/>
        </w:rPr>
        <w:t xml:space="preserve">construction </w:t>
      </w:r>
      <w:r w:rsidR="001B03F2" w:rsidRPr="00D35F39">
        <w:rPr>
          <w:bCs/>
          <w:color w:val="000000" w:themeColor="text1"/>
          <w:sz w:val="20"/>
          <w:szCs w:val="20"/>
        </w:rPr>
        <w:t>characteristics</w:t>
      </w:r>
      <w:r w:rsidR="00425358" w:rsidRPr="00D35F39">
        <w:rPr>
          <w:bCs/>
          <w:color w:val="000000" w:themeColor="text1"/>
          <w:sz w:val="20"/>
          <w:szCs w:val="20"/>
        </w:rPr>
        <w:t xml:space="preserve"> </w:t>
      </w:r>
      <w:r w:rsidRPr="00D35F39">
        <w:rPr>
          <w:bCs/>
          <w:color w:val="000000" w:themeColor="text1"/>
          <w:sz w:val="20"/>
          <w:szCs w:val="20"/>
        </w:rPr>
        <w:t>to predict ventilation and thermal performance</w:t>
      </w:r>
      <w:r w:rsidR="00884961" w:rsidRPr="00D35F39">
        <w:rPr>
          <w:bCs/>
          <w:color w:val="000000" w:themeColor="text1"/>
          <w:sz w:val="20"/>
          <w:szCs w:val="20"/>
        </w:rPr>
        <w:t xml:space="preserve"> (DECC, 2012</w:t>
      </w:r>
      <w:r w:rsidR="00187008" w:rsidRPr="00D35F39">
        <w:rPr>
          <w:bCs/>
          <w:color w:val="000000" w:themeColor="text1"/>
          <w:sz w:val="20"/>
          <w:szCs w:val="20"/>
        </w:rPr>
        <w:t>b).</w:t>
      </w:r>
      <w:r w:rsidRPr="00D35F39">
        <w:rPr>
          <w:bCs/>
          <w:color w:val="000000" w:themeColor="text1"/>
          <w:sz w:val="20"/>
          <w:szCs w:val="20"/>
        </w:rPr>
        <w:t xml:space="preserve"> The SAP </w:t>
      </w:r>
      <w:r w:rsidR="004E3EE9" w:rsidRPr="00D35F39">
        <w:rPr>
          <w:bCs/>
          <w:color w:val="000000" w:themeColor="text1"/>
          <w:sz w:val="20"/>
          <w:szCs w:val="20"/>
        </w:rPr>
        <w:t xml:space="preserve">criteria </w:t>
      </w:r>
      <w:r w:rsidRPr="00D35F39">
        <w:rPr>
          <w:bCs/>
          <w:color w:val="000000" w:themeColor="text1"/>
          <w:sz w:val="20"/>
          <w:szCs w:val="20"/>
        </w:rPr>
        <w:t>is then</w:t>
      </w:r>
      <w:r w:rsidRPr="003D4317">
        <w:rPr>
          <w:color w:val="000000" w:themeColor="text1"/>
          <w:sz w:val="20"/>
        </w:rPr>
        <w:t xml:space="preserve"> used to </w:t>
      </w:r>
      <w:r w:rsidRPr="00D35F39">
        <w:rPr>
          <w:bCs/>
          <w:color w:val="000000" w:themeColor="text1"/>
          <w:sz w:val="20"/>
          <w:szCs w:val="20"/>
        </w:rPr>
        <w:t xml:space="preserve">predict </w:t>
      </w:r>
      <w:r w:rsidR="00675AD5" w:rsidRPr="00D35F39">
        <w:rPr>
          <w:bCs/>
          <w:color w:val="000000" w:themeColor="text1"/>
          <w:sz w:val="20"/>
          <w:szCs w:val="20"/>
        </w:rPr>
        <w:t xml:space="preserve">total </w:t>
      </w:r>
      <w:r w:rsidRPr="00D35F39">
        <w:rPr>
          <w:bCs/>
          <w:color w:val="000000" w:themeColor="text1"/>
          <w:sz w:val="20"/>
          <w:szCs w:val="20"/>
        </w:rPr>
        <w:t>ventilation rate</w:t>
      </w:r>
      <w:r w:rsidR="00675AD5" w:rsidRPr="00D35F39">
        <w:rPr>
          <w:bCs/>
          <w:color w:val="000000" w:themeColor="text1"/>
          <w:sz w:val="20"/>
          <w:szCs w:val="20"/>
        </w:rPr>
        <w:t>, dwelling</w:t>
      </w:r>
      <w:r w:rsidRPr="00D35F39">
        <w:rPr>
          <w:bCs/>
          <w:color w:val="000000" w:themeColor="text1"/>
          <w:sz w:val="20"/>
          <w:szCs w:val="20"/>
        </w:rPr>
        <w:t xml:space="preserve"> permeability, and fabric heat loss rate</w:t>
      </w:r>
      <w:r w:rsidR="0017649B">
        <w:rPr>
          <w:bCs/>
          <w:color w:val="000000" w:themeColor="text1"/>
          <w:sz w:val="20"/>
          <w:szCs w:val="20"/>
        </w:rPr>
        <w:t xml:space="preserve"> (Hughes et al., 2013)</w:t>
      </w:r>
      <w:r w:rsidRPr="00D35F39">
        <w:rPr>
          <w:bCs/>
          <w:color w:val="000000" w:themeColor="text1"/>
          <w:sz w:val="20"/>
          <w:szCs w:val="20"/>
        </w:rPr>
        <w:t xml:space="preserve">. </w:t>
      </w:r>
      <w:r w:rsidR="004E3EE9" w:rsidRPr="00D35F39">
        <w:rPr>
          <w:bCs/>
          <w:color w:val="000000" w:themeColor="text1"/>
          <w:sz w:val="20"/>
          <w:szCs w:val="20"/>
        </w:rPr>
        <w:t>These are combined</w:t>
      </w:r>
      <w:r w:rsidRPr="00D35F39">
        <w:rPr>
          <w:bCs/>
          <w:color w:val="000000" w:themeColor="text1"/>
          <w:sz w:val="20"/>
          <w:szCs w:val="20"/>
        </w:rPr>
        <w:t xml:space="preserve"> with the heating system</w:t>
      </w:r>
      <w:r w:rsidR="00675AD5" w:rsidRPr="00D35F39">
        <w:rPr>
          <w:bCs/>
          <w:color w:val="000000" w:themeColor="text1"/>
          <w:sz w:val="20"/>
          <w:szCs w:val="20"/>
        </w:rPr>
        <w:t xml:space="preserve"> performance</w:t>
      </w:r>
      <w:r w:rsidRPr="00D35F39">
        <w:rPr>
          <w:bCs/>
          <w:color w:val="000000" w:themeColor="text1"/>
          <w:sz w:val="20"/>
          <w:szCs w:val="20"/>
        </w:rPr>
        <w:t xml:space="preserve"> to predict a heat transfer characteristic E</w:t>
      </w:r>
      <w:r w:rsidR="0091643F" w:rsidRPr="00D35F39">
        <w:rPr>
          <w:bCs/>
          <w:color w:val="000000" w:themeColor="text1"/>
          <w:sz w:val="20"/>
          <w:szCs w:val="20"/>
        </w:rPr>
        <w:t>-</w:t>
      </w:r>
      <w:r w:rsidRPr="00D35F39">
        <w:rPr>
          <w:bCs/>
          <w:color w:val="000000" w:themeColor="text1"/>
          <w:sz w:val="20"/>
          <w:szCs w:val="20"/>
        </w:rPr>
        <w:t>value</w:t>
      </w:r>
      <w:r w:rsidR="0091643F" w:rsidRPr="00D35F39">
        <w:rPr>
          <w:rStyle w:val="FootnoteReference"/>
          <w:rFonts w:eastAsia="HGｺﾞｼｯｸE"/>
          <w:bCs/>
          <w:sz w:val="20"/>
          <w:szCs w:val="20"/>
        </w:rPr>
        <w:footnoteReference w:id="3"/>
      </w:r>
      <w:r w:rsidRPr="00D35F39">
        <w:rPr>
          <w:bCs/>
          <w:color w:val="000000" w:themeColor="text1"/>
          <w:sz w:val="20"/>
          <w:szCs w:val="20"/>
        </w:rPr>
        <w:t xml:space="preserve"> for each dwelling</w:t>
      </w:r>
      <w:r w:rsidR="002769EC">
        <w:rPr>
          <w:bCs/>
          <w:color w:val="000000" w:themeColor="text1"/>
          <w:sz w:val="20"/>
          <w:szCs w:val="20"/>
        </w:rPr>
        <w:t>,</w:t>
      </w:r>
      <w:r w:rsidR="004E3EE9" w:rsidRPr="00D35F39">
        <w:rPr>
          <w:bCs/>
          <w:color w:val="000000" w:themeColor="text1"/>
          <w:sz w:val="20"/>
          <w:szCs w:val="20"/>
        </w:rPr>
        <w:t xml:space="preserve"> using a relationship that takes into account the expected behaviour of the occupant (Oreszczyn et al, 2006)</w:t>
      </w:r>
      <w:r w:rsidR="0091643F" w:rsidRPr="00D35F39">
        <w:rPr>
          <w:bCs/>
          <w:color w:val="000000" w:themeColor="text1"/>
          <w:sz w:val="20"/>
          <w:szCs w:val="20"/>
        </w:rPr>
        <w:t>.</w:t>
      </w:r>
      <w:r w:rsidR="00383BD9" w:rsidRPr="00D35F39">
        <w:rPr>
          <w:bCs/>
          <w:color w:val="000000" w:themeColor="text1"/>
          <w:sz w:val="20"/>
          <w:szCs w:val="20"/>
        </w:rPr>
        <w:t xml:space="preserve"> </w:t>
      </w:r>
      <w:r w:rsidR="003D6017" w:rsidRPr="00D35F39">
        <w:rPr>
          <w:rFonts w:eastAsia="HGｺﾞｼｯｸE"/>
          <w:bCs/>
          <w:sz w:val="20"/>
          <w:szCs w:val="20"/>
        </w:rPr>
        <w:t xml:space="preserve">Each intervention is associated with changes in the thermal and ventilation </w:t>
      </w:r>
      <w:r w:rsidR="003D6017" w:rsidRPr="00D35F39">
        <w:rPr>
          <w:rFonts w:eastAsia="HGｺﾞｼｯｸE"/>
          <w:bCs/>
          <w:sz w:val="20"/>
          <w:szCs w:val="20"/>
        </w:rPr>
        <w:lastRenderedPageBreak/>
        <w:t xml:space="preserve">characteristics of the EHS variants. The SAP method is used to calculate the new heat transfer characteristic, and the new E-value is predicted such that changes in energy use can be estimated under the variety of future scenarios. </w:t>
      </w:r>
      <w:r w:rsidR="00A5754F">
        <w:rPr>
          <w:rFonts w:eastAsia="HGｺﾞｼｯｸE"/>
          <w:bCs/>
          <w:sz w:val="20"/>
          <w:szCs w:val="20"/>
        </w:rPr>
        <w:t xml:space="preserve">These </w:t>
      </w:r>
      <w:r w:rsidR="00050B48" w:rsidRPr="00D35F39">
        <w:rPr>
          <w:rFonts w:eastAsia="HGｺﾞｼｯｸE"/>
          <w:bCs/>
          <w:sz w:val="20"/>
          <w:szCs w:val="20"/>
        </w:rPr>
        <w:t xml:space="preserve">include </w:t>
      </w:r>
      <w:r w:rsidR="00A5754F">
        <w:rPr>
          <w:rFonts w:eastAsia="HGｺﾞｼｯｸE"/>
          <w:bCs/>
          <w:sz w:val="20"/>
          <w:szCs w:val="20"/>
        </w:rPr>
        <w:t>PPV</w:t>
      </w:r>
      <w:r w:rsidR="00050B48" w:rsidRPr="00D35F39">
        <w:rPr>
          <w:rFonts w:eastAsia="HGｺﾞｼｯｸE"/>
          <w:bCs/>
          <w:sz w:val="20"/>
          <w:szCs w:val="20"/>
        </w:rPr>
        <w:t>, designed to comply with Approved Document F1 (HM Government, 2010</w:t>
      </w:r>
      <w:r w:rsidR="0017649B">
        <w:rPr>
          <w:rFonts w:eastAsia="HGｺﾞｼｯｸE"/>
          <w:bCs/>
          <w:sz w:val="20"/>
          <w:szCs w:val="20"/>
        </w:rPr>
        <w:t>).</w:t>
      </w:r>
      <w:r w:rsidR="00533ED6" w:rsidRPr="00533ED6">
        <w:rPr>
          <w:rFonts w:eastAsia="Cambria"/>
          <w:bCs/>
          <w:sz w:val="20"/>
          <w:szCs w:val="20"/>
        </w:rPr>
        <w:t xml:space="preserve"> </w:t>
      </w:r>
      <w:r w:rsidR="00533ED6" w:rsidRPr="00533ED6">
        <w:rPr>
          <w:rFonts w:eastAsia="HGｺﾞｼｯｸE"/>
          <w:bCs/>
          <w:sz w:val="20"/>
          <w:szCs w:val="20"/>
        </w:rPr>
        <w:t>One of the key assumptions in the health impact modelling</w:t>
      </w:r>
      <w:r w:rsidR="00533ED6">
        <w:rPr>
          <w:rFonts w:eastAsia="HGｺﾞｼｯｸE"/>
          <w:bCs/>
          <w:sz w:val="20"/>
          <w:szCs w:val="20"/>
        </w:rPr>
        <w:t xml:space="preserve"> (section 2.</w:t>
      </w:r>
      <w:r w:rsidR="00DD68D5">
        <w:rPr>
          <w:rFonts w:eastAsia="HGｺﾞｼｯｸE"/>
          <w:bCs/>
          <w:sz w:val="20"/>
          <w:szCs w:val="20"/>
        </w:rPr>
        <w:t>5</w:t>
      </w:r>
      <w:r w:rsidR="00533ED6">
        <w:rPr>
          <w:rFonts w:eastAsia="HGｺﾞｼｯｸE"/>
          <w:bCs/>
          <w:sz w:val="20"/>
          <w:szCs w:val="20"/>
        </w:rPr>
        <w:t>)</w:t>
      </w:r>
      <w:r w:rsidR="00533ED6" w:rsidRPr="00533ED6">
        <w:rPr>
          <w:rFonts w:eastAsia="HGｺﾞｼｯｸE"/>
          <w:bCs/>
          <w:sz w:val="20"/>
          <w:szCs w:val="20"/>
        </w:rPr>
        <w:t xml:space="preserve"> is that additional PPV will be installed in dwellings alongside</w:t>
      </w:r>
      <w:r w:rsidR="00533ED6">
        <w:rPr>
          <w:rFonts w:eastAsia="HGｺﾞｼｯｸE"/>
          <w:bCs/>
          <w:sz w:val="20"/>
          <w:szCs w:val="20"/>
        </w:rPr>
        <w:t xml:space="preserve"> the energy efficiency measures</w:t>
      </w:r>
      <w:r w:rsidR="00866F8A">
        <w:rPr>
          <w:rFonts w:eastAsia="HGｺﾞｼｯｸE"/>
          <w:bCs/>
          <w:sz w:val="20"/>
          <w:szCs w:val="20"/>
        </w:rPr>
        <w:t xml:space="preserve">. </w:t>
      </w:r>
      <w:r w:rsidR="00DD68D5">
        <w:rPr>
          <w:bCs/>
          <w:color w:val="000000" w:themeColor="text1"/>
          <w:sz w:val="20"/>
          <w:szCs w:val="20"/>
        </w:rPr>
        <w:t>For outdoor conditions</w:t>
      </w:r>
      <w:r w:rsidR="009B4F51">
        <w:rPr>
          <w:bCs/>
          <w:color w:val="000000" w:themeColor="text1"/>
          <w:sz w:val="20"/>
          <w:szCs w:val="20"/>
        </w:rPr>
        <w:t xml:space="preserve"> influencing indoor values,</w:t>
      </w:r>
      <w:r w:rsidR="00DD68D5">
        <w:rPr>
          <w:bCs/>
          <w:color w:val="000000" w:themeColor="text1"/>
          <w:sz w:val="20"/>
          <w:szCs w:val="20"/>
        </w:rPr>
        <w:t xml:space="preserve"> t</w:t>
      </w:r>
      <w:r w:rsidR="00DD68D5" w:rsidRPr="00D35F39">
        <w:rPr>
          <w:bCs/>
          <w:color w:val="000000" w:themeColor="text1"/>
          <w:sz w:val="20"/>
          <w:szCs w:val="20"/>
        </w:rPr>
        <w:t xml:space="preserve">ransient yearly weather files are constructed using Chartered Institution of Building Services Engineers (CIBSE) Test Reference Year (TRY) and Design Summer Year (DSY) data. The TRY is a synthesized typical weather year suitable for </w:t>
      </w:r>
      <w:r w:rsidR="00C31A4F" w:rsidRPr="00D35F39">
        <w:rPr>
          <w:bCs/>
          <w:color w:val="000000" w:themeColor="text1"/>
          <w:sz w:val="20"/>
          <w:szCs w:val="20"/>
        </w:rPr>
        <w:t>analysing</w:t>
      </w:r>
      <w:r w:rsidR="00DD68D5" w:rsidRPr="00D35F39">
        <w:rPr>
          <w:bCs/>
          <w:color w:val="000000" w:themeColor="text1"/>
          <w:sz w:val="20"/>
          <w:szCs w:val="20"/>
        </w:rPr>
        <w:t xml:space="preserve"> the environmental performance of buildings, </w:t>
      </w:r>
      <w:r w:rsidR="00DD68D5">
        <w:rPr>
          <w:bCs/>
          <w:color w:val="000000" w:themeColor="text1"/>
          <w:sz w:val="20"/>
          <w:szCs w:val="20"/>
        </w:rPr>
        <w:t xml:space="preserve">whereas </w:t>
      </w:r>
      <w:r w:rsidR="00DD68D5" w:rsidRPr="00D35F39">
        <w:rPr>
          <w:bCs/>
          <w:color w:val="000000" w:themeColor="text1"/>
          <w:sz w:val="20"/>
          <w:szCs w:val="20"/>
        </w:rPr>
        <w:t xml:space="preserve">the DSY is a complete historical year representing a near extreme warm summer (CIBSE, 2010). </w:t>
      </w:r>
      <w:r w:rsidR="00DD68D5">
        <w:rPr>
          <w:bCs/>
          <w:color w:val="000000" w:themeColor="text1"/>
          <w:sz w:val="20"/>
          <w:szCs w:val="20"/>
        </w:rPr>
        <w:t xml:space="preserve">These files </w:t>
      </w:r>
      <w:r w:rsidR="00DD68D5" w:rsidRPr="00D35F39">
        <w:rPr>
          <w:bCs/>
          <w:color w:val="000000" w:themeColor="text1"/>
          <w:sz w:val="20"/>
          <w:szCs w:val="20"/>
        </w:rPr>
        <w:t>contain hourly outdoor air temperature, air pressure, wind speed, wind direction, and humidity</w:t>
      </w:r>
      <w:r w:rsidR="00DD68D5">
        <w:rPr>
          <w:bCs/>
          <w:color w:val="000000" w:themeColor="text1"/>
          <w:sz w:val="20"/>
          <w:szCs w:val="20"/>
        </w:rPr>
        <w:t xml:space="preserve"> data</w:t>
      </w:r>
      <w:r w:rsidR="00DD68D5" w:rsidRPr="00D35F39">
        <w:rPr>
          <w:bCs/>
          <w:color w:val="000000" w:themeColor="text1"/>
          <w:sz w:val="20"/>
          <w:szCs w:val="20"/>
        </w:rPr>
        <w:t>.</w:t>
      </w:r>
    </w:p>
    <w:p w14:paraId="39D24042" w14:textId="77777777" w:rsidR="00DD68D5" w:rsidRDefault="00DD68D5" w:rsidP="00CA1010">
      <w:pPr>
        <w:spacing w:after="0" w:line="480" w:lineRule="auto"/>
        <w:contextualSpacing/>
        <w:jc w:val="left"/>
        <w:divId w:val="434059591"/>
        <w:rPr>
          <w:b/>
          <w:color w:val="000000" w:themeColor="text1"/>
          <w:sz w:val="20"/>
          <w:szCs w:val="20"/>
        </w:rPr>
      </w:pPr>
    </w:p>
    <w:p w14:paraId="2ED80634" w14:textId="35F7D5EC" w:rsidR="00003E66" w:rsidRPr="00D35F39" w:rsidRDefault="00AA716D" w:rsidP="00A36F73">
      <w:pPr>
        <w:spacing w:after="0" w:line="480" w:lineRule="auto"/>
        <w:jc w:val="left"/>
        <w:divId w:val="434059591"/>
        <w:rPr>
          <w:rFonts w:eastAsia="Times New Roman"/>
          <w:i/>
          <w:color w:val="000000" w:themeColor="text1"/>
          <w:sz w:val="20"/>
          <w:szCs w:val="20"/>
          <w:lang w:eastAsia="en-GB"/>
        </w:rPr>
      </w:pPr>
      <w:r w:rsidRPr="00D35F39">
        <w:rPr>
          <w:rFonts w:eastAsia="Times New Roman"/>
          <w:i/>
          <w:color w:val="000000" w:themeColor="text1"/>
          <w:sz w:val="20"/>
          <w:szCs w:val="20"/>
          <w:lang w:eastAsia="en-GB"/>
        </w:rPr>
        <w:t>2.</w:t>
      </w:r>
      <w:r w:rsidR="00DD68D5">
        <w:rPr>
          <w:rFonts w:eastAsia="Times New Roman"/>
          <w:i/>
          <w:color w:val="000000" w:themeColor="text1"/>
          <w:sz w:val="20"/>
          <w:szCs w:val="20"/>
          <w:lang w:eastAsia="en-GB"/>
        </w:rPr>
        <w:t>5</w:t>
      </w:r>
      <w:r w:rsidRPr="00D35F39">
        <w:rPr>
          <w:rFonts w:eastAsia="Times New Roman"/>
          <w:i/>
          <w:color w:val="000000" w:themeColor="text1"/>
          <w:sz w:val="20"/>
          <w:szCs w:val="20"/>
          <w:lang w:eastAsia="en-GB"/>
        </w:rPr>
        <w:t xml:space="preserve">. </w:t>
      </w:r>
      <w:r w:rsidR="00003E66" w:rsidRPr="00D35F39">
        <w:rPr>
          <w:rFonts w:eastAsia="Times New Roman"/>
          <w:i/>
          <w:color w:val="000000" w:themeColor="text1"/>
          <w:sz w:val="20"/>
          <w:szCs w:val="20"/>
          <w:lang w:eastAsia="en-GB"/>
        </w:rPr>
        <w:t>Health Impacts</w:t>
      </w:r>
    </w:p>
    <w:p w14:paraId="3D2582F9" w14:textId="79C03F90" w:rsidR="009B76E7" w:rsidRPr="00D35F39" w:rsidRDefault="00D25CD0" w:rsidP="0074287C">
      <w:pPr>
        <w:overflowPunct w:val="0"/>
        <w:autoSpaceDE w:val="0"/>
        <w:autoSpaceDN w:val="0"/>
        <w:adjustRightInd w:val="0"/>
        <w:spacing w:after="0" w:line="480" w:lineRule="auto"/>
        <w:divId w:val="434059591"/>
        <w:rPr>
          <w:rFonts w:eastAsia="Times New Roman"/>
          <w:sz w:val="20"/>
          <w:szCs w:val="20"/>
          <w:lang w:eastAsia="en-GB"/>
        </w:rPr>
      </w:pPr>
      <w:r w:rsidRPr="00D35F39">
        <w:rPr>
          <w:rFonts w:eastAsia="Times New Roman"/>
          <w:sz w:val="20"/>
          <w:szCs w:val="20"/>
          <w:lang w:eastAsia="en-GB"/>
        </w:rPr>
        <w:t>The</w:t>
      </w:r>
      <w:r w:rsidR="00003E66" w:rsidRPr="00D35F39">
        <w:rPr>
          <w:rFonts w:eastAsia="Times New Roman"/>
          <w:sz w:val="20"/>
          <w:szCs w:val="20"/>
          <w:lang w:eastAsia="en-GB"/>
        </w:rPr>
        <w:t xml:space="preserve"> health impacts </w:t>
      </w:r>
      <w:r w:rsidR="00D164B3">
        <w:rPr>
          <w:rFonts w:eastAsia="Times New Roman"/>
          <w:sz w:val="20"/>
          <w:szCs w:val="20"/>
          <w:lang w:eastAsia="en-GB"/>
        </w:rPr>
        <w:t>associated with</w:t>
      </w:r>
      <w:r w:rsidR="00003E66" w:rsidRPr="00D35F39">
        <w:rPr>
          <w:rFonts w:eastAsia="Times New Roman"/>
          <w:sz w:val="20"/>
          <w:szCs w:val="20"/>
          <w:lang w:eastAsia="en-GB"/>
        </w:rPr>
        <w:t xml:space="preserve"> changes </w:t>
      </w:r>
      <w:r w:rsidR="00417CB9">
        <w:rPr>
          <w:rFonts w:eastAsia="Times New Roman"/>
          <w:sz w:val="20"/>
          <w:szCs w:val="20"/>
          <w:lang w:eastAsia="en-GB"/>
        </w:rPr>
        <w:t>to</w:t>
      </w:r>
      <w:r w:rsidR="00003E66" w:rsidRPr="00D35F39">
        <w:rPr>
          <w:rFonts w:eastAsia="Times New Roman"/>
          <w:sz w:val="20"/>
          <w:szCs w:val="20"/>
          <w:lang w:eastAsia="en-GB"/>
        </w:rPr>
        <w:t xml:space="preserve"> </w:t>
      </w:r>
      <w:r w:rsidR="00A409B9">
        <w:rPr>
          <w:rFonts w:eastAsia="Times New Roman"/>
          <w:sz w:val="20"/>
          <w:szCs w:val="20"/>
          <w:lang w:eastAsia="en-GB"/>
        </w:rPr>
        <w:t xml:space="preserve">annual </w:t>
      </w:r>
      <w:r w:rsidR="00003E66" w:rsidRPr="00D35F39">
        <w:rPr>
          <w:rFonts w:eastAsia="Times New Roman"/>
          <w:sz w:val="20"/>
          <w:szCs w:val="20"/>
          <w:lang w:eastAsia="en-GB"/>
        </w:rPr>
        <w:t xml:space="preserve">indoor air quality and </w:t>
      </w:r>
      <w:r w:rsidR="00A409B9">
        <w:rPr>
          <w:rFonts w:eastAsia="Times New Roman"/>
          <w:sz w:val="20"/>
          <w:szCs w:val="20"/>
          <w:lang w:eastAsia="en-GB"/>
        </w:rPr>
        <w:t xml:space="preserve">heating season </w:t>
      </w:r>
      <w:r w:rsidR="00003E66" w:rsidRPr="00D35F39">
        <w:rPr>
          <w:rFonts w:eastAsia="Times New Roman"/>
          <w:sz w:val="20"/>
          <w:szCs w:val="20"/>
          <w:lang w:eastAsia="en-GB"/>
        </w:rPr>
        <w:t>temperature</w:t>
      </w:r>
      <w:r w:rsidR="00A409B9">
        <w:rPr>
          <w:rFonts w:eastAsia="Times New Roman"/>
          <w:sz w:val="20"/>
          <w:szCs w:val="20"/>
          <w:lang w:eastAsia="en-GB"/>
        </w:rPr>
        <w:t>s</w:t>
      </w:r>
      <w:r w:rsidR="00BD4080">
        <w:rPr>
          <w:rFonts w:eastAsia="Times New Roman"/>
          <w:sz w:val="20"/>
          <w:szCs w:val="20"/>
          <w:lang w:eastAsia="en-GB"/>
        </w:rPr>
        <w:t>,</w:t>
      </w:r>
      <w:r w:rsidR="00003E66" w:rsidRPr="00D35F39">
        <w:rPr>
          <w:rFonts w:eastAsia="Times New Roman"/>
          <w:sz w:val="20"/>
          <w:szCs w:val="20"/>
          <w:lang w:eastAsia="en-GB"/>
        </w:rPr>
        <w:t xml:space="preserve"> </w:t>
      </w:r>
      <w:r w:rsidR="00417CB9">
        <w:rPr>
          <w:rFonts w:eastAsia="Times New Roman"/>
          <w:sz w:val="20"/>
          <w:szCs w:val="20"/>
          <w:lang w:eastAsia="en-GB"/>
        </w:rPr>
        <w:t>we</w:t>
      </w:r>
      <w:r w:rsidR="00DB615F" w:rsidRPr="00D35F39">
        <w:rPr>
          <w:rFonts w:eastAsia="Times New Roman"/>
          <w:sz w:val="20"/>
          <w:szCs w:val="20"/>
          <w:lang w:eastAsia="en-GB"/>
        </w:rPr>
        <w:t xml:space="preserve">re </w:t>
      </w:r>
      <w:r w:rsidR="00003E66" w:rsidRPr="00D35F39">
        <w:rPr>
          <w:rFonts w:eastAsia="Times New Roman"/>
          <w:sz w:val="20"/>
          <w:szCs w:val="20"/>
          <w:lang w:eastAsia="en-GB"/>
        </w:rPr>
        <w:t xml:space="preserve">modelled </w:t>
      </w:r>
      <w:r w:rsidR="00FD42E6" w:rsidRPr="00D35F39">
        <w:rPr>
          <w:rFonts w:eastAsia="Times New Roman"/>
          <w:sz w:val="20"/>
          <w:szCs w:val="20"/>
          <w:lang w:eastAsia="en-GB"/>
        </w:rPr>
        <w:t xml:space="preserve">within the SCRIBE tool </w:t>
      </w:r>
      <w:r w:rsidR="00003E66" w:rsidRPr="00D35F39">
        <w:rPr>
          <w:rFonts w:eastAsia="Times New Roman"/>
          <w:sz w:val="20"/>
          <w:szCs w:val="20"/>
          <w:lang w:eastAsia="en-GB"/>
        </w:rPr>
        <w:t>using life table methods based on the IOMLIFET model (Miller and Hurley, 2003)</w:t>
      </w:r>
      <w:r w:rsidR="00417CB9" w:rsidRPr="00D35F39" w:rsidDel="00417CB9">
        <w:rPr>
          <w:rFonts w:eastAsia="Times New Roman"/>
          <w:sz w:val="20"/>
          <w:szCs w:val="20"/>
          <w:lang w:eastAsia="en-GB"/>
        </w:rPr>
        <w:t xml:space="preserve"> </w:t>
      </w:r>
      <w:r w:rsidR="00417CB9">
        <w:rPr>
          <w:rFonts w:eastAsia="Times New Roman"/>
          <w:sz w:val="20"/>
          <w:szCs w:val="20"/>
          <w:lang w:eastAsia="en-GB"/>
        </w:rPr>
        <w:t xml:space="preserve">using </w:t>
      </w:r>
      <w:r w:rsidR="002825EC">
        <w:rPr>
          <w:rFonts w:eastAsia="Times New Roman"/>
          <w:sz w:val="20"/>
          <w:szCs w:val="20"/>
          <w:lang w:eastAsia="en-GB"/>
        </w:rPr>
        <w:t>all-cause and cause-specific</w:t>
      </w:r>
      <w:r w:rsidR="00417CB9">
        <w:rPr>
          <w:rFonts w:eastAsia="Times New Roman"/>
          <w:sz w:val="20"/>
          <w:szCs w:val="20"/>
          <w:lang w:eastAsia="en-GB"/>
        </w:rPr>
        <w:t xml:space="preserve"> mortality</w:t>
      </w:r>
      <w:r w:rsidR="002825EC">
        <w:rPr>
          <w:rFonts w:eastAsia="Times New Roman"/>
          <w:sz w:val="20"/>
          <w:szCs w:val="20"/>
          <w:lang w:eastAsia="en-GB"/>
        </w:rPr>
        <w:t xml:space="preserve"> data for England and Wales available from the Office for National Statistics (ONS), with separate life tables for males and females. </w:t>
      </w:r>
      <w:r w:rsidR="004D38D3" w:rsidRPr="00D35F39">
        <w:rPr>
          <w:rFonts w:eastAsia="Times New Roman"/>
          <w:sz w:val="20"/>
          <w:szCs w:val="20"/>
          <w:lang w:eastAsia="en-GB"/>
        </w:rPr>
        <w:t xml:space="preserve">The </w:t>
      </w:r>
      <w:r w:rsidR="00BD4430">
        <w:rPr>
          <w:rFonts w:eastAsia="Times New Roman"/>
          <w:sz w:val="20"/>
          <w:szCs w:val="20"/>
          <w:lang w:eastAsia="en-GB"/>
        </w:rPr>
        <w:t xml:space="preserve">key </w:t>
      </w:r>
      <w:r w:rsidR="004D38D3" w:rsidRPr="00D35F39">
        <w:rPr>
          <w:rFonts w:eastAsia="Times New Roman"/>
          <w:sz w:val="20"/>
          <w:szCs w:val="20"/>
          <w:lang w:eastAsia="en-GB"/>
        </w:rPr>
        <w:t xml:space="preserve">model output </w:t>
      </w:r>
      <w:r w:rsidR="00BD4430">
        <w:rPr>
          <w:rFonts w:eastAsia="Times New Roman"/>
          <w:sz w:val="20"/>
          <w:szCs w:val="20"/>
          <w:lang w:eastAsia="en-GB"/>
        </w:rPr>
        <w:t>was</w:t>
      </w:r>
      <w:r w:rsidR="004D38D3" w:rsidRPr="00D35F39">
        <w:rPr>
          <w:rFonts w:eastAsia="Times New Roman"/>
          <w:sz w:val="20"/>
          <w:szCs w:val="20"/>
          <w:lang w:eastAsia="en-GB"/>
        </w:rPr>
        <w:t xml:space="preserve"> changes in </w:t>
      </w:r>
      <w:r w:rsidR="00BD4430">
        <w:rPr>
          <w:rFonts w:eastAsia="Times New Roman"/>
          <w:sz w:val="20"/>
          <w:szCs w:val="20"/>
          <w:lang w:eastAsia="en-GB"/>
        </w:rPr>
        <w:t xml:space="preserve">years of </w:t>
      </w:r>
      <w:r w:rsidR="004D38D3" w:rsidRPr="00D35F39">
        <w:rPr>
          <w:rFonts w:eastAsia="Times New Roman"/>
          <w:sz w:val="20"/>
          <w:szCs w:val="20"/>
          <w:lang w:eastAsia="en-GB"/>
        </w:rPr>
        <w:t xml:space="preserve">life </w:t>
      </w:r>
      <w:r w:rsidR="00BD4430">
        <w:rPr>
          <w:rFonts w:eastAsia="Times New Roman"/>
          <w:sz w:val="20"/>
          <w:szCs w:val="20"/>
          <w:lang w:eastAsia="en-GB"/>
        </w:rPr>
        <w:t>lived</w:t>
      </w:r>
      <w:r w:rsidR="00C50967">
        <w:rPr>
          <w:rFonts w:eastAsia="Times New Roman"/>
          <w:sz w:val="20"/>
          <w:szCs w:val="20"/>
          <w:lang w:eastAsia="en-GB"/>
        </w:rPr>
        <w:t xml:space="preserve"> with no morbi</w:t>
      </w:r>
      <w:r w:rsidR="007A3B71">
        <w:rPr>
          <w:rFonts w:eastAsia="Times New Roman"/>
          <w:sz w:val="20"/>
          <w:szCs w:val="20"/>
          <w:lang w:eastAsia="en-GB"/>
        </w:rPr>
        <w:t>di</w:t>
      </w:r>
      <w:r w:rsidR="00C50967">
        <w:rPr>
          <w:rFonts w:eastAsia="Times New Roman"/>
          <w:sz w:val="20"/>
          <w:szCs w:val="20"/>
          <w:lang w:eastAsia="en-GB"/>
        </w:rPr>
        <w:t>ty estimates</w:t>
      </w:r>
      <w:r w:rsidR="00BD4080">
        <w:rPr>
          <w:rFonts w:eastAsia="Times New Roman"/>
          <w:sz w:val="20"/>
          <w:szCs w:val="20"/>
          <w:lang w:eastAsia="en-GB"/>
        </w:rPr>
        <w:t>.</w:t>
      </w:r>
      <w:r w:rsidR="00417CB9" w:rsidRPr="00417CB9">
        <w:rPr>
          <w:rFonts w:eastAsia="Times New Roman"/>
          <w:sz w:val="20"/>
          <w:szCs w:val="20"/>
          <w:lang w:eastAsia="en-GB"/>
        </w:rPr>
        <w:t xml:space="preserve"> </w:t>
      </w:r>
      <w:r w:rsidR="00417CB9">
        <w:rPr>
          <w:rFonts w:eastAsia="Times New Roman"/>
          <w:sz w:val="20"/>
          <w:szCs w:val="20"/>
          <w:lang w:eastAsia="en-GB"/>
        </w:rPr>
        <w:t>Exposure-response relationships</w:t>
      </w:r>
      <w:r w:rsidR="00417CB9" w:rsidRPr="00D35F39">
        <w:rPr>
          <w:rFonts w:eastAsia="Times New Roman"/>
          <w:sz w:val="20"/>
          <w:szCs w:val="20"/>
          <w:lang w:eastAsia="en-GB"/>
        </w:rPr>
        <w:t xml:space="preserve"> </w:t>
      </w:r>
      <w:r w:rsidR="00417CB9">
        <w:rPr>
          <w:rFonts w:eastAsia="Times New Roman"/>
          <w:sz w:val="20"/>
          <w:szCs w:val="20"/>
          <w:lang w:eastAsia="en-GB"/>
        </w:rPr>
        <w:t xml:space="preserve">for changes in </w:t>
      </w:r>
      <w:r w:rsidR="00003E66" w:rsidRPr="00D35F39">
        <w:rPr>
          <w:rFonts w:eastAsia="Times New Roman"/>
          <w:sz w:val="20"/>
          <w:szCs w:val="20"/>
          <w:lang w:eastAsia="en-GB"/>
        </w:rPr>
        <w:t xml:space="preserve">indoor exposures </w:t>
      </w:r>
      <w:r w:rsidR="00301319">
        <w:rPr>
          <w:rFonts w:eastAsia="Times New Roman"/>
          <w:sz w:val="20"/>
          <w:szCs w:val="20"/>
          <w:lang w:eastAsia="en-GB"/>
        </w:rPr>
        <w:t>(</w:t>
      </w:r>
      <w:r w:rsidR="00F770A2">
        <w:rPr>
          <w:rFonts w:eastAsia="Times New Roman"/>
          <w:sz w:val="20"/>
          <w:szCs w:val="20"/>
          <w:lang w:eastAsia="en-GB"/>
        </w:rPr>
        <w:t xml:space="preserve">i.e. </w:t>
      </w:r>
      <w:r w:rsidR="004878E6" w:rsidRPr="00D35F39">
        <w:rPr>
          <w:rFonts w:eastAsia="Times New Roman"/>
          <w:sz w:val="20"/>
          <w:szCs w:val="20"/>
          <w:lang w:eastAsia="en-GB"/>
        </w:rPr>
        <w:t>standardized</w:t>
      </w:r>
      <w:r w:rsidR="00187008" w:rsidRPr="00D35F39">
        <w:rPr>
          <w:rFonts w:eastAsia="Times New Roman"/>
          <w:sz w:val="20"/>
          <w:szCs w:val="20"/>
          <w:lang w:eastAsia="en-GB"/>
        </w:rPr>
        <w:t xml:space="preserve"> internal temperature (</w:t>
      </w:r>
      <w:r w:rsidR="00003E66" w:rsidRPr="00D35F39">
        <w:rPr>
          <w:rFonts w:eastAsia="Times New Roman"/>
          <w:sz w:val="20"/>
          <w:szCs w:val="20"/>
          <w:lang w:eastAsia="en-GB"/>
        </w:rPr>
        <w:t>SIT</w:t>
      </w:r>
      <w:r w:rsidR="00187008" w:rsidRPr="00D35F39">
        <w:rPr>
          <w:rFonts w:eastAsia="Times New Roman"/>
          <w:sz w:val="20"/>
          <w:szCs w:val="20"/>
          <w:lang w:eastAsia="en-GB"/>
        </w:rPr>
        <w:t>)</w:t>
      </w:r>
      <w:r w:rsidR="00003E66" w:rsidRPr="00D35F39">
        <w:rPr>
          <w:rFonts w:eastAsia="Times New Roman"/>
          <w:sz w:val="20"/>
          <w:szCs w:val="20"/>
          <w:lang w:eastAsia="en-GB"/>
        </w:rPr>
        <w:t>, ETS, PM</w:t>
      </w:r>
      <w:r w:rsidR="00003E66" w:rsidRPr="00D35F39">
        <w:rPr>
          <w:rFonts w:eastAsia="Times New Roman"/>
          <w:sz w:val="20"/>
          <w:szCs w:val="20"/>
          <w:vertAlign w:val="subscript"/>
          <w:lang w:eastAsia="en-GB"/>
        </w:rPr>
        <w:t>2.5</w:t>
      </w:r>
      <w:r w:rsidR="00BD4430" w:rsidRPr="00BD4430">
        <w:rPr>
          <w:rFonts w:eastAsia="Times New Roman"/>
          <w:sz w:val="20"/>
          <w:szCs w:val="20"/>
          <w:lang w:eastAsia="en-GB"/>
        </w:rPr>
        <w:t xml:space="preserve"> </w:t>
      </w:r>
      <w:r w:rsidR="00BD4430">
        <w:rPr>
          <w:rFonts w:eastAsia="Times New Roman"/>
          <w:sz w:val="20"/>
          <w:szCs w:val="20"/>
          <w:lang w:eastAsia="en-GB"/>
        </w:rPr>
        <w:t xml:space="preserve">derived from </w:t>
      </w:r>
      <w:r w:rsidR="00BD4430" w:rsidRPr="00D35F39">
        <w:rPr>
          <w:rFonts w:eastAsia="Times New Roman"/>
          <w:sz w:val="20"/>
          <w:szCs w:val="20"/>
          <w:lang w:eastAsia="en-GB"/>
        </w:rPr>
        <w:t>indoor and outdoor sources</w:t>
      </w:r>
      <w:r w:rsidR="00942820">
        <w:rPr>
          <w:rFonts w:eastAsia="Times New Roman"/>
          <w:sz w:val="20"/>
          <w:szCs w:val="20"/>
          <w:lang w:eastAsia="en-GB"/>
        </w:rPr>
        <w:t xml:space="preserve"> </w:t>
      </w:r>
      <w:r w:rsidR="00C31A4F">
        <w:rPr>
          <w:rFonts w:eastAsia="Times New Roman"/>
          <w:sz w:val="20"/>
          <w:szCs w:val="20"/>
          <w:lang w:eastAsia="en-GB"/>
        </w:rPr>
        <w:t>and</w:t>
      </w:r>
      <w:r w:rsidR="00C31A4F" w:rsidRPr="00D35F39">
        <w:rPr>
          <w:rFonts w:eastAsia="Times New Roman"/>
          <w:sz w:val="20"/>
          <w:szCs w:val="20"/>
          <w:lang w:eastAsia="en-GB"/>
        </w:rPr>
        <w:t xml:space="preserve"> radon</w:t>
      </w:r>
      <w:r w:rsidR="00003E66" w:rsidRPr="00D35F39">
        <w:rPr>
          <w:rFonts w:eastAsia="Times New Roman"/>
          <w:sz w:val="20"/>
          <w:szCs w:val="20"/>
          <w:lang w:eastAsia="en-GB"/>
        </w:rPr>
        <w:t>)</w:t>
      </w:r>
      <w:r w:rsidR="00417CB9" w:rsidRPr="00D35F39" w:rsidDel="00417CB9">
        <w:rPr>
          <w:rFonts w:eastAsia="Times New Roman"/>
          <w:sz w:val="20"/>
          <w:szCs w:val="20"/>
          <w:lang w:eastAsia="en-GB"/>
        </w:rPr>
        <w:t xml:space="preserve"> </w:t>
      </w:r>
      <w:r w:rsidR="00417CB9">
        <w:rPr>
          <w:rFonts w:eastAsia="Times New Roman"/>
          <w:sz w:val="20"/>
          <w:szCs w:val="20"/>
          <w:lang w:eastAsia="en-GB"/>
        </w:rPr>
        <w:t xml:space="preserve">were derived </w:t>
      </w:r>
      <w:r w:rsidR="002825EC">
        <w:rPr>
          <w:rFonts w:eastAsia="Times New Roman"/>
          <w:sz w:val="20"/>
          <w:szCs w:val="20"/>
          <w:lang w:eastAsia="en-GB"/>
        </w:rPr>
        <w:t xml:space="preserve">from published </w:t>
      </w:r>
      <w:r w:rsidR="00417CB9">
        <w:rPr>
          <w:rFonts w:eastAsia="Times New Roman"/>
          <w:sz w:val="20"/>
          <w:szCs w:val="20"/>
          <w:lang w:eastAsia="en-GB"/>
        </w:rPr>
        <w:t xml:space="preserve">sources </w:t>
      </w:r>
      <w:r w:rsidR="00DB615F" w:rsidRPr="00D35F39">
        <w:rPr>
          <w:rFonts w:eastAsia="Times New Roman"/>
          <w:sz w:val="20"/>
          <w:szCs w:val="20"/>
          <w:lang w:eastAsia="en-GB"/>
        </w:rPr>
        <w:t xml:space="preserve">shown </w:t>
      </w:r>
      <w:r w:rsidR="00003E66" w:rsidRPr="00D35F39">
        <w:rPr>
          <w:rFonts w:eastAsia="Times New Roman"/>
          <w:sz w:val="20"/>
          <w:szCs w:val="20"/>
          <w:lang w:eastAsia="en-GB"/>
        </w:rPr>
        <w:t xml:space="preserve">in Table </w:t>
      </w:r>
      <w:r w:rsidR="002E1BDA">
        <w:rPr>
          <w:rFonts w:eastAsia="Times New Roman"/>
          <w:sz w:val="20"/>
          <w:szCs w:val="20"/>
          <w:lang w:eastAsia="en-GB"/>
        </w:rPr>
        <w:t>4</w:t>
      </w:r>
      <w:r w:rsidR="00003E66" w:rsidRPr="00D35F39">
        <w:rPr>
          <w:rFonts w:eastAsia="Times New Roman"/>
          <w:sz w:val="20"/>
          <w:szCs w:val="20"/>
          <w:lang w:eastAsia="en-GB"/>
        </w:rPr>
        <w:t xml:space="preserve">. </w:t>
      </w:r>
      <w:r w:rsidR="002825EC">
        <w:rPr>
          <w:rFonts w:eastAsia="Times New Roman"/>
          <w:sz w:val="20"/>
          <w:szCs w:val="20"/>
          <w:lang w:eastAsia="en-GB"/>
        </w:rPr>
        <w:t xml:space="preserve">Where more than one exposure </w:t>
      </w:r>
      <w:r w:rsidR="00417CB9">
        <w:rPr>
          <w:rFonts w:eastAsia="Times New Roman"/>
          <w:sz w:val="20"/>
          <w:szCs w:val="20"/>
          <w:lang w:eastAsia="en-GB"/>
        </w:rPr>
        <w:t>wa</w:t>
      </w:r>
      <w:r w:rsidR="002825EC">
        <w:rPr>
          <w:rFonts w:eastAsia="Times New Roman"/>
          <w:sz w:val="20"/>
          <w:szCs w:val="20"/>
          <w:lang w:eastAsia="en-GB"/>
        </w:rPr>
        <w:t>s related to the same outcome, we assume</w:t>
      </w:r>
      <w:r w:rsidR="00417CB9">
        <w:rPr>
          <w:rFonts w:eastAsia="Times New Roman"/>
          <w:sz w:val="20"/>
          <w:szCs w:val="20"/>
          <w:lang w:eastAsia="en-GB"/>
        </w:rPr>
        <w:t>d</w:t>
      </w:r>
      <w:r w:rsidR="002825EC">
        <w:rPr>
          <w:rFonts w:eastAsia="Times New Roman"/>
          <w:sz w:val="20"/>
          <w:szCs w:val="20"/>
          <w:lang w:eastAsia="en-GB"/>
        </w:rPr>
        <w:t xml:space="preserve"> that the risks </w:t>
      </w:r>
      <w:r w:rsidR="00C50967">
        <w:rPr>
          <w:rFonts w:eastAsia="Times New Roman"/>
          <w:sz w:val="20"/>
          <w:szCs w:val="20"/>
          <w:lang w:eastAsia="en-GB"/>
        </w:rPr>
        <w:t xml:space="preserve">are </w:t>
      </w:r>
      <w:r w:rsidR="002825EC">
        <w:rPr>
          <w:rFonts w:eastAsia="Times New Roman"/>
          <w:sz w:val="20"/>
          <w:szCs w:val="20"/>
          <w:lang w:eastAsia="en-GB"/>
        </w:rPr>
        <w:t>multiplicative</w:t>
      </w:r>
      <w:r w:rsidR="0001133B">
        <w:rPr>
          <w:rFonts w:eastAsia="Times New Roman"/>
          <w:sz w:val="20"/>
          <w:szCs w:val="20"/>
          <w:lang w:eastAsia="en-GB"/>
        </w:rPr>
        <w:t xml:space="preserve"> </w:t>
      </w:r>
      <w:r w:rsidR="00942820">
        <w:rPr>
          <w:rFonts w:eastAsia="Times New Roman"/>
          <w:sz w:val="20"/>
          <w:szCs w:val="20"/>
          <w:lang w:eastAsia="en-GB"/>
        </w:rPr>
        <w:t xml:space="preserve">in line with the work </w:t>
      </w:r>
      <w:r w:rsidR="00C31A4F">
        <w:rPr>
          <w:rFonts w:eastAsia="Times New Roman"/>
          <w:sz w:val="20"/>
          <w:szCs w:val="20"/>
          <w:lang w:eastAsia="en-GB"/>
        </w:rPr>
        <w:t>of Scarborough</w:t>
      </w:r>
      <w:r w:rsidR="00942820">
        <w:rPr>
          <w:rFonts w:eastAsia="Times New Roman"/>
          <w:sz w:val="20"/>
          <w:szCs w:val="20"/>
          <w:lang w:eastAsia="en-GB"/>
        </w:rPr>
        <w:t xml:space="preserve"> et al.</w:t>
      </w:r>
      <w:r w:rsidR="0001133B">
        <w:rPr>
          <w:rFonts w:eastAsia="Times New Roman"/>
          <w:sz w:val="20"/>
          <w:szCs w:val="20"/>
          <w:lang w:eastAsia="en-GB"/>
        </w:rPr>
        <w:t xml:space="preserve"> </w:t>
      </w:r>
      <w:r w:rsidR="00942820">
        <w:rPr>
          <w:rFonts w:eastAsia="Times New Roman"/>
          <w:sz w:val="20"/>
          <w:szCs w:val="20"/>
          <w:lang w:eastAsia="en-GB"/>
        </w:rPr>
        <w:t>(</w:t>
      </w:r>
      <w:r w:rsidR="0001133B">
        <w:rPr>
          <w:rFonts w:eastAsia="Times New Roman"/>
          <w:sz w:val="20"/>
          <w:szCs w:val="20"/>
          <w:lang w:eastAsia="en-GB"/>
        </w:rPr>
        <w:t>2010)</w:t>
      </w:r>
      <w:r w:rsidR="002825EC">
        <w:rPr>
          <w:rFonts w:eastAsia="Times New Roman"/>
          <w:sz w:val="20"/>
          <w:szCs w:val="20"/>
          <w:lang w:eastAsia="en-GB"/>
        </w:rPr>
        <w:t xml:space="preserve">. </w:t>
      </w:r>
    </w:p>
    <w:p w14:paraId="631E58E8" w14:textId="5F536767" w:rsidR="00911A03" w:rsidRPr="00D35F39" w:rsidRDefault="00911A03" w:rsidP="00454861">
      <w:pPr>
        <w:spacing w:before="120" w:after="120" w:line="480" w:lineRule="auto"/>
        <w:divId w:val="434059591"/>
        <w:rPr>
          <w:rFonts w:eastAsia="HGｺﾞｼｯｸE"/>
          <w:b/>
          <w:color w:val="000000" w:themeColor="text1"/>
          <w:sz w:val="20"/>
          <w:szCs w:val="20"/>
          <w:lang w:eastAsia="en-GB"/>
        </w:rPr>
      </w:pPr>
      <w:r w:rsidRPr="00D35F39">
        <w:rPr>
          <w:rFonts w:eastAsia="Times New Roman"/>
          <w:b/>
          <w:sz w:val="20"/>
          <w:szCs w:val="20"/>
          <w:lang w:eastAsia="en-GB"/>
        </w:rPr>
        <w:t xml:space="preserve">Table </w:t>
      </w:r>
      <w:r w:rsidR="002E1BDA">
        <w:rPr>
          <w:rFonts w:eastAsia="Times New Roman"/>
          <w:b/>
          <w:sz w:val="20"/>
          <w:szCs w:val="20"/>
          <w:lang w:eastAsia="en-GB"/>
        </w:rPr>
        <w:t>4</w:t>
      </w:r>
    </w:p>
    <w:p w14:paraId="1E459CF1" w14:textId="12F41B77" w:rsidR="009B76E7" w:rsidRDefault="00301319" w:rsidP="00600A05">
      <w:pPr>
        <w:spacing w:before="120" w:after="120" w:line="480" w:lineRule="auto"/>
        <w:divId w:val="434059591"/>
        <w:rPr>
          <w:rFonts w:eastAsia="Times New Roman"/>
          <w:sz w:val="20"/>
          <w:szCs w:val="20"/>
          <w:lang w:eastAsia="en-GB"/>
        </w:rPr>
      </w:pPr>
      <w:r>
        <w:rPr>
          <w:rFonts w:eastAsia="Times New Roman"/>
          <w:sz w:val="20"/>
          <w:szCs w:val="20"/>
          <w:lang w:eastAsia="en-GB"/>
        </w:rPr>
        <w:t>Health i</w:t>
      </w:r>
      <w:r w:rsidR="00685ABF">
        <w:rPr>
          <w:rFonts w:eastAsia="Times New Roman"/>
          <w:sz w:val="20"/>
          <w:szCs w:val="20"/>
          <w:lang w:eastAsia="en-GB"/>
        </w:rPr>
        <w:t xml:space="preserve">mpacts </w:t>
      </w:r>
      <w:r w:rsidR="00BD4430">
        <w:rPr>
          <w:rFonts w:eastAsia="Times New Roman"/>
          <w:sz w:val="20"/>
          <w:szCs w:val="20"/>
          <w:lang w:eastAsia="en-GB"/>
        </w:rPr>
        <w:t>we</w:t>
      </w:r>
      <w:r w:rsidR="002825EC">
        <w:rPr>
          <w:rFonts w:eastAsia="Times New Roman"/>
          <w:sz w:val="20"/>
          <w:szCs w:val="20"/>
          <w:lang w:eastAsia="en-GB"/>
        </w:rPr>
        <w:t>re</w:t>
      </w:r>
      <w:r w:rsidR="00685ABF">
        <w:rPr>
          <w:rFonts w:eastAsia="Times New Roman"/>
          <w:sz w:val="20"/>
          <w:szCs w:val="20"/>
          <w:lang w:eastAsia="en-GB"/>
        </w:rPr>
        <w:t xml:space="preserve"> modelled</w:t>
      </w:r>
      <w:r w:rsidR="00BD4430">
        <w:rPr>
          <w:rFonts w:eastAsia="Times New Roman"/>
          <w:sz w:val="20"/>
          <w:szCs w:val="20"/>
          <w:lang w:eastAsia="en-GB"/>
        </w:rPr>
        <w:t xml:space="preserve"> year by year</w:t>
      </w:r>
      <w:r w:rsidR="00685ABF">
        <w:rPr>
          <w:rFonts w:eastAsia="Times New Roman"/>
          <w:sz w:val="20"/>
          <w:szCs w:val="20"/>
          <w:lang w:eastAsia="en-GB"/>
        </w:rPr>
        <w:t xml:space="preserve"> </w:t>
      </w:r>
      <w:r w:rsidR="00BD4430">
        <w:rPr>
          <w:rFonts w:eastAsia="Times New Roman"/>
          <w:sz w:val="20"/>
          <w:szCs w:val="20"/>
          <w:lang w:eastAsia="en-GB"/>
        </w:rPr>
        <w:t xml:space="preserve">to </w:t>
      </w:r>
      <w:r w:rsidR="00484535">
        <w:rPr>
          <w:rFonts w:eastAsia="Times New Roman"/>
          <w:sz w:val="20"/>
          <w:szCs w:val="20"/>
          <w:lang w:eastAsia="en-GB"/>
        </w:rPr>
        <w:t>2050</w:t>
      </w:r>
      <w:r w:rsidR="00685ABF">
        <w:rPr>
          <w:rFonts w:eastAsia="Times New Roman"/>
          <w:sz w:val="20"/>
          <w:szCs w:val="20"/>
          <w:lang w:eastAsia="en-GB"/>
        </w:rPr>
        <w:t xml:space="preserve">. </w:t>
      </w:r>
      <w:r w:rsidR="00BD4430">
        <w:rPr>
          <w:rFonts w:eastAsia="Times New Roman"/>
          <w:sz w:val="20"/>
          <w:szCs w:val="20"/>
          <w:lang w:eastAsia="en-GB"/>
        </w:rPr>
        <w:t xml:space="preserve">For </w:t>
      </w:r>
      <w:r w:rsidR="00003E66" w:rsidRPr="00D35F39">
        <w:rPr>
          <w:rFonts w:eastAsia="Times New Roman"/>
          <w:sz w:val="20"/>
          <w:szCs w:val="20"/>
          <w:lang w:eastAsia="en-GB"/>
        </w:rPr>
        <w:t xml:space="preserve">all </w:t>
      </w:r>
      <w:r w:rsidR="00DB615F" w:rsidRPr="00D35F39">
        <w:rPr>
          <w:rFonts w:eastAsia="Times New Roman"/>
          <w:sz w:val="20"/>
          <w:szCs w:val="20"/>
          <w:lang w:eastAsia="en-GB"/>
        </w:rPr>
        <w:t xml:space="preserve">modelled </w:t>
      </w:r>
      <w:r w:rsidR="00003E66" w:rsidRPr="00D35F39">
        <w:rPr>
          <w:rFonts w:eastAsia="Times New Roman"/>
          <w:sz w:val="20"/>
          <w:szCs w:val="20"/>
          <w:lang w:eastAsia="en-GB"/>
        </w:rPr>
        <w:t>outcomes</w:t>
      </w:r>
      <w:r w:rsidR="00BD4430">
        <w:rPr>
          <w:rFonts w:eastAsia="Times New Roman"/>
          <w:sz w:val="20"/>
          <w:szCs w:val="20"/>
          <w:lang w:eastAsia="en-GB"/>
        </w:rPr>
        <w:t xml:space="preserve"> other than those associated with changes in SIT</w:t>
      </w:r>
      <w:r w:rsidR="00003E66" w:rsidRPr="00D35F39">
        <w:rPr>
          <w:rFonts w:eastAsia="Times New Roman"/>
          <w:sz w:val="20"/>
          <w:szCs w:val="20"/>
          <w:lang w:eastAsia="en-GB"/>
        </w:rPr>
        <w:t xml:space="preserve">, </w:t>
      </w:r>
      <w:r w:rsidR="00BD4430">
        <w:rPr>
          <w:rFonts w:eastAsia="Times New Roman"/>
          <w:sz w:val="20"/>
          <w:szCs w:val="20"/>
          <w:lang w:eastAsia="en-GB"/>
        </w:rPr>
        <w:t>we specified outcome</w:t>
      </w:r>
      <w:r w:rsidR="00781864" w:rsidRPr="00D35F39">
        <w:rPr>
          <w:rFonts w:eastAsia="Times New Roman"/>
          <w:sz w:val="20"/>
          <w:szCs w:val="20"/>
          <w:lang w:eastAsia="en-GB"/>
        </w:rPr>
        <w:t xml:space="preserve">-specific </w:t>
      </w:r>
      <w:r w:rsidR="00BD4430">
        <w:rPr>
          <w:rFonts w:eastAsia="Times New Roman"/>
          <w:sz w:val="20"/>
          <w:szCs w:val="20"/>
          <w:lang w:eastAsia="en-GB"/>
        </w:rPr>
        <w:t>inception and cessation lag functions to reflect the time delay between changes in exposure and subsequent change in disease status</w:t>
      </w:r>
      <w:r w:rsidR="00003E66" w:rsidRPr="00D35F39">
        <w:rPr>
          <w:rFonts w:eastAsia="Times New Roman"/>
          <w:sz w:val="20"/>
          <w:szCs w:val="20"/>
          <w:lang w:eastAsia="en-GB"/>
        </w:rPr>
        <w:t xml:space="preserve">. </w:t>
      </w:r>
      <w:r w:rsidR="00BD4430">
        <w:rPr>
          <w:rFonts w:eastAsia="Times New Roman"/>
          <w:sz w:val="20"/>
          <w:szCs w:val="20"/>
          <w:lang w:eastAsia="en-GB"/>
        </w:rPr>
        <w:t>See</w:t>
      </w:r>
      <w:r w:rsidR="00776235">
        <w:rPr>
          <w:rFonts w:eastAsia="Times New Roman"/>
          <w:sz w:val="20"/>
          <w:szCs w:val="20"/>
          <w:lang w:eastAsia="en-GB"/>
        </w:rPr>
        <w:t xml:space="preserve"> Hamilton et al. (201</w:t>
      </w:r>
      <w:r>
        <w:rPr>
          <w:rFonts w:eastAsia="Times New Roman"/>
          <w:sz w:val="20"/>
          <w:szCs w:val="20"/>
          <w:lang w:eastAsia="en-GB"/>
        </w:rPr>
        <w:t>5</w:t>
      </w:r>
      <w:r w:rsidR="00776235">
        <w:rPr>
          <w:rFonts w:eastAsia="Times New Roman"/>
          <w:sz w:val="20"/>
          <w:szCs w:val="20"/>
          <w:lang w:eastAsia="en-GB"/>
        </w:rPr>
        <w:t>)</w:t>
      </w:r>
      <w:r w:rsidR="00BD4430">
        <w:rPr>
          <w:rFonts w:eastAsia="Times New Roman"/>
          <w:sz w:val="20"/>
          <w:szCs w:val="20"/>
          <w:lang w:eastAsia="en-GB"/>
        </w:rPr>
        <w:t xml:space="preserve"> for further details</w:t>
      </w:r>
      <w:r w:rsidR="00776235">
        <w:rPr>
          <w:rFonts w:eastAsia="Times New Roman"/>
          <w:sz w:val="20"/>
          <w:szCs w:val="20"/>
          <w:lang w:eastAsia="en-GB"/>
        </w:rPr>
        <w:t>.</w:t>
      </w:r>
    </w:p>
    <w:p w14:paraId="6FA2892A" w14:textId="77777777" w:rsidR="005810D9" w:rsidRPr="00D35F39" w:rsidRDefault="005810D9" w:rsidP="00600A05">
      <w:pPr>
        <w:spacing w:before="120" w:after="120" w:line="480" w:lineRule="auto"/>
        <w:divId w:val="434059591"/>
        <w:rPr>
          <w:rFonts w:eastAsia="Times New Roman"/>
          <w:sz w:val="20"/>
          <w:szCs w:val="20"/>
          <w:lang w:eastAsia="en-GB"/>
        </w:rPr>
      </w:pPr>
    </w:p>
    <w:p w14:paraId="4974F244" w14:textId="77777777" w:rsidR="00122704" w:rsidRDefault="00AE10D8" w:rsidP="00AA716D">
      <w:pPr>
        <w:pStyle w:val="ListParagraph"/>
        <w:numPr>
          <w:ilvl w:val="0"/>
          <w:numId w:val="22"/>
        </w:numPr>
        <w:spacing w:after="0"/>
        <w:jc w:val="left"/>
        <w:divId w:val="434059591"/>
        <w:rPr>
          <w:rFonts w:eastAsia="Times New Roman"/>
          <w:b/>
          <w:color w:val="000000" w:themeColor="text1"/>
          <w:sz w:val="20"/>
          <w:szCs w:val="20"/>
          <w:lang w:eastAsia="en-GB"/>
        </w:rPr>
      </w:pPr>
      <w:r w:rsidRPr="00D35F39">
        <w:rPr>
          <w:rFonts w:eastAsia="Times New Roman"/>
          <w:b/>
          <w:color w:val="000000" w:themeColor="text1"/>
          <w:sz w:val="20"/>
          <w:szCs w:val="20"/>
          <w:lang w:eastAsia="en-GB"/>
        </w:rPr>
        <w:t>Results</w:t>
      </w:r>
    </w:p>
    <w:p w14:paraId="0854202E" w14:textId="77777777" w:rsidR="0074287C" w:rsidRPr="00D35F39" w:rsidRDefault="0074287C" w:rsidP="0074287C">
      <w:pPr>
        <w:pStyle w:val="ListParagraph"/>
        <w:spacing w:after="0"/>
        <w:jc w:val="left"/>
        <w:divId w:val="434059591"/>
        <w:rPr>
          <w:rFonts w:eastAsia="Times New Roman"/>
          <w:b/>
          <w:color w:val="000000" w:themeColor="text1"/>
          <w:sz w:val="20"/>
          <w:szCs w:val="20"/>
          <w:lang w:eastAsia="en-GB"/>
        </w:rPr>
      </w:pPr>
    </w:p>
    <w:p w14:paraId="6D16E595" w14:textId="73AB2C0A" w:rsidR="005177EA" w:rsidRPr="00D35F39" w:rsidRDefault="005177EA" w:rsidP="00F65181">
      <w:pPr>
        <w:spacing w:after="0" w:line="480" w:lineRule="auto"/>
        <w:divId w:val="434059591"/>
        <w:rPr>
          <w:i/>
          <w:color w:val="000000" w:themeColor="text1"/>
          <w:sz w:val="20"/>
          <w:szCs w:val="20"/>
        </w:rPr>
      </w:pPr>
      <w:r w:rsidRPr="00D35F39">
        <w:rPr>
          <w:i/>
          <w:color w:val="000000" w:themeColor="text1"/>
          <w:sz w:val="20"/>
          <w:szCs w:val="20"/>
        </w:rPr>
        <w:t xml:space="preserve">3.1. </w:t>
      </w:r>
      <w:r w:rsidR="00887DFC">
        <w:rPr>
          <w:i/>
          <w:color w:val="000000" w:themeColor="text1"/>
          <w:sz w:val="20"/>
          <w:szCs w:val="20"/>
        </w:rPr>
        <w:t>Energy Use and CO</w:t>
      </w:r>
      <w:r w:rsidR="00887DFC" w:rsidRPr="00B0692B">
        <w:rPr>
          <w:i/>
          <w:color w:val="000000" w:themeColor="text1"/>
          <w:sz w:val="20"/>
          <w:szCs w:val="20"/>
          <w:vertAlign w:val="subscript"/>
        </w:rPr>
        <w:t>2</w:t>
      </w:r>
      <w:r w:rsidR="00887DFC">
        <w:rPr>
          <w:i/>
          <w:color w:val="000000" w:themeColor="text1"/>
          <w:sz w:val="20"/>
          <w:szCs w:val="20"/>
        </w:rPr>
        <w:t xml:space="preserve"> Emissions</w:t>
      </w:r>
    </w:p>
    <w:p w14:paraId="1633B444" w14:textId="1DB2D06F" w:rsidR="005472AA" w:rsidRPr="003D4317" w:rsidRDefault="00887DFC" w:rsidP="00CA1D61">
      <w:pPr>
        <w:spacing w:after="0" w:line="480" w:lineRule="auto"/>
        <w:divId w:val="434059591"/>
        <w:rPr>
          <w:b/>
          <w:color w:val="000000" w:themeColor="text1"/>
          <w:sz w:val="20"/>
        </w:rPr>
      </w:pPr>
      <w:r>
        <w:rPr>
          <w:color w:val="000000" w:themeColor="text1"/>
          <w:sz w:val="20"/>
          <w:szCs w:val="20"/>
        </w:rPr>
        <w:t xml:space="preserve">Changes in Energy </w:t>
      </w:r>
      <w:r w:rsidR="00B0692B">
        <w:rPr>
          <w:color w:val="000000" w:themeColor="text1"/>
          <w:sz w:val="20"/>
          <w:szCs w:val="20"/>
        </w:rPr>
        <w:t>consumption</w:t>
      </w:r>
      <w:r>
        <w:rPr>
          <w:color w:val="000000" w:themeColor="text1"/>
          <w:sz w:val="20"/>
          <w:szCs w:val="20"/>
        </w:rPr>
        <w:t xml:space="preserve"> </w:t>
      </w:r>
      <w:r w:rsidRPr="00D35F39">
        <w:rPr>
          <w:color w:val="000000" w:themeColor="text1"/>
          <w:sz w:val="20"/>
          <w:szCs w:val="20"/>
        </w:rPr>
        <w:t xml:space="preserve">(kWh) </w:t>
      </w:r>
      <w:r>
        <w:rPr>
          <w:color w:val="000000" w:themeColor="text1"/>
          <w:sz w:val="20"/>
          <w:szCs w:val="20"/>
        </w:rPr>
        <w:t xml:space="preserve">and </w:t>
      </w:r>
      <w:r w:rsidRPr="00D35F39">
        <w:rPr>
          <w:color w:val="000000" w:themeColor="text1"/>
          <w:sz w:val="20"/>
          <w:szCs w:val="20"/>
        </w:rPr>
        <w:t>CO</w:t>
      </w:r>
      <w:r w:rsidRPr="00D35F39">
        <w:rPr>
          <w:color w:val="000000" w:themeColor="text1"/>
          <w:sz w:val="20"/>
          <w:szCs w:val="20"/>
          <w:vertAlign w:val="subscript"/>
        </w:rPr>
        <w:t>2</w:t>
      </w:r>
      <w:r w:rsidRPr="00D35F39">
        <w:rPr>
          <w:color w:val="000000" w:themeColor="text1"/>
          <w:sz w:val="20"/>
          <w:szCs w:val="20"/>
        </w:rPr>
        <w:t xml:space="preserve"> emissions</w:t>
      </w:r>
      <w:r>
        <w:rPr>
          <w:color w:val="000000" w:themeColor="text1"/>
          <w:sz w:val="20"/>
          <w:szCs w:val="20"/>
        </w:rPr>
        <w:t xml:space="preserve"> of the housing stocks relative to the 2010 baseline </w:t>
      </w:r>
      <w:r w:rsidR="0035190B" w:rsidRPr="00D35F39">
        <w:rPr>
          <w:color w:val="000000" w:themeColor="text1"/>
          <w:sz w:val="20"/>
          <w:szCs w:val="20"/>
        </w:rPr>
        <w:t>tak</w:t>
      </w:r>
      <w:r w:rsidR="0035190B">
        <w:rPr>
          <w:color w:val="000000" w:themeColor="text1"/>
          <w:sz w:val="20"/>
          <w:szCs w:val="20"/>
        </w:rPr>
        <w:t>ing</w:t>
      </w:r>
      <w:r w:rsidR="0035190B" w:rsidRPr="00D35F39">
        <w:rPr>
          <w:color w:val="000000" w:themeColor="text1"/>
          <w:sz w:val="20"/>
          <w:szCs w:val="20"/>
        </w:rPr>
        <w:t xml:space="preserve"> account</w:t>
      </w:r>
      <w:r w:rsidR="0035190B">
        <w:rPr>
          <w:color w:val="000000" w:themeColor="text1"/>
          <w:sz w:val="20"/>
          <w:szCs w:val="20"/>
        </w:rPr>
        <w:t xml:space="preserve"> of</w:t>
      </w:r>
      <w:r w:rsidR="0035190B" w:rsidRPr="00D35F39">
        <w:rPr>
          <w:color w:val="000000" w:themeColor="text1"/>
          <w:sz w:val="20"/>
          <w:szCs w:val="20"/>
        </w:rPr>
        <w:t xml:space="preserve"> the changing </w:t>
      </w:r>
      <w:r w:rsidR="0035190B">
        <w:rPr>
          <w:color w:val="000000" w:themeColor="text1"/>
          <w:sz w:val="20"/>
          <w:szCs w:val="20"/>
        </w:rPr>
        <w:t>carbon intensity (CI)</w:t>
      </w:r>
      <w:r w:rsidR="0035190B" w:rsidRPr="00D35F39">
        <w:rPr>
          <w:color w:val="000000" w:themeColor="text1"/>
          <w:sz w:val="20"/>
          <w:szCs w:val="20"/>
        </w:rPr>
        <w:t xml:space="preserve"> of the electric</w:t>
      </w:r>
      <w:r w:rsidR="0035190B">
        <w:rPr>
          <w:color w:val="000000" w:themeColor="text1"/>
          <w:sz w:val="20"/>
          <w:szCs w:val="20"/>
        </w:rPr>
        <w:t>al</w:t>
      </w:r>
      <w:r w:rsidR="0035190B" w:rsidRPr="00D35F39">
        <w:rPr>
          <w:color w:val="000000" w:themeColor="text1"/>
          <w:sz w:val="20"/>
          <w:szCs w:val="20"/>
        </w:rPr>
        <w:t xml:space="preserve"> grid</w:t>
      </w:r>
      <w:r w:rsidR="0035190B">
        <w:rPr>
          <w:color w:val="000000" w:themeColor="text1"/>
          <w:sz w:val="20"/>
          <w:szCs w:val="20"/>
        </w:rPr>
        <w:t xml:space="preserve"> </w:t>
      </w:r>
      <w:r>
        <w:rPr>
          <w:color w:val="000000" w:themeColor="text1"/>
          <w:sz w:val="20"/>
          <w:szCs w:val="20"/>
        </w:rPr>
        <w:t xml:space="preserve">are shown </w:t>
      </w:r>
      <w:r w:rsidR="0035190B">
        <w:rPr>
          <w:color w:val="000000" w:themeColor="text1"/>
          <w:sz w:val="20"/>
          <w:szCs w:val="20"/>
        </w:rPr>
        <w:t xml:space="preserve">for each scenario </w:t>
      </w:r>
      <w:r w:rsidR="00B0692B">
        <w:rPr>
          <w:color w:val="000000" w:themeColor="text1"/>
          <w:sz w:val="20"/>
          <w:szCs w:val="20"/>
        </w:rPr>
        <w:t xml:space="preserve">in </w:t>
      </w:r>
      <w:r w:rsidR="00B0692B" w:rsidRPr="00D35F39">
        <w:rPr>
          <w:color w:val="000000" w:themeColor="text1"/>
          <w:sz w:val="20"/>
          <w:szCs w:val="20"/>
        </w:rPr>
        <w:t>Table</w:t>
      </w:r>
      <w:r w:rsidRPr="00D35F39">
        <w:rPr>
          <w:color w:val="000000" w:themeColor="text1"/>
          <w:sz w:val="20"/>
          <w:szCs w:val="20"/>
        </w:rPr>
        <w:t xml:space="preserve"> </w:t>
      </w:r>
      <w:r w:rsidR="002E1BDA">
        <w:rPr>
          <w:color w:val="000000" w:themeColor="text1"/>
          <w:sz w:val="20"/>
          <w:szCs w:val="20"/>
        </w:rPr>
        <w:t>5</w:t>
      </w:r>
      <w:r w:rsidR="002E6809" w:rsidRPr="00D35F39">
        <w:rPr>
          <w:color w:val="000000" w:themeColor="text1"/>
          <w:sz w:val="20"/>
          <w:szCs w:val="20"/>
        </w:rPr>
        <w:t xml:space="preserve">. </w:t>
      </w:r>
      <w:r w:rsidR="00ED1F3D">
        <w:rPr>
          <w:color w:val="000000" w:themeColor="text1"/>
          <w:sz w:val="20"/>
          <w:szCs w:val="20"/>
        </w:rPr>
        <w:t>Values</w:t>
      </w:r>
      <w:r w:rsidR="00F70BCE" w:rsidRPr="00D35F39">
        <w:rPr>
          <w:color w:val="000000" w:themeColor="text1"/>
          <w:sz w:val="20"/>
          <w:szCs w:val="20"/>
        </w:rPr>
        <w:t xml:space="preserve"> </w:t>
      </w:r>
      <w:r w:rsidR="00F65181" w:rsidRPr="00D35F39">
        <w:rPr>
          <w:color w:val="000000" w:themeColor="text1"/>
          <w:sz w:val="20"/>
          <w:szCs w:val="20"/>
        </w:rPr>
        <w:lastRenderedPageBreak/>
        <w:t xml:space="preserve">are expressed as </w:t>
      </w:r>
      <w:r w:rsidR="0035190B">
        <w:rPr>
          <w:color w:val="000000" w:themeColor="text1"/>
          <w:sz w:val="20"/>
          <w:szCs w:val="20"/>
        </w:rPr>
        <w:t xml:space="preserve">the </w:t>
      </w:r>
      <w:r w:rsidR="00F65181" w:rsidRPr="00D35F39">
        <w:rPr>
          <w:color w:val="000000" w:themeColor="text1"/>
          <w:sz w:val="20"/>
          <w:szCs w:val="20"/>
        </w:rPr>
        <w:t>percentage</w:t>
      </w:r>
      <w:r w:rsidR="0035190B">
        <w:rPr>
          <w:color w:val="000000" w:themeColor="text1"/>
          <w:sz w:val="20"/>
          <w:szCs w:val="20"/>
        </w:rPr>
        <w:t xml:space="preserve"> increase</w:t>
      </w:r>
      <w:r w:rsidR="00582AA2" w:rsidRPr="00D35F39">
        <w:rPr>
          <w:color w:val="000000" w:themeColor="text1"/>
          <w:sz w:val="20"/>
          <w:szCs w:val="20"/>
        </w:rPr>
        <w:t xml:space="preserve"> relative to </w:t>
      </w:r>
      <w:r w:rsidR="0035190B">
        <w:rPr>
          <w:color w:val="000000" w:themeColor="text1"/>
          <w:sz w:val="20"/>
          <w:szCs w:val="20"/>
        </w:rPr>
        <w:t xml:space="preserve">the </w:t>
      </w:r>
      <w:r w:rsidR="00582AA2" w:rsidRPr="00D35F39">
        <w:rPr>
          <w:color w:val="000000" w:themeColor="text1"/>
          <w:sz w:val="20"/>
          <w:szCs w:val="20"/>
        </w:rPr>
        <w:t xml:space="preserve">base year </w:t>
      </w:r>
      <w:r w:rsidR="0035190B">
        <w:rPr>
          <w:color w:val="000000" w:themeColor="text1"/>
          <w:sz w:val="20"/>
          <w:szCs w:val="20"/>
        </w:rPr>
        <w:t xml:space="preserve">of </w:t>
      </w:r>
      <w:r w:rsidR="00582AA2" w:rsidRPr="00D35F39">
        <w:rPr>
          <w:color w:val="000000" w:themeColor="text1"/>
          <w:sz w:val="20"/>
          <w:szCs w:val="20"/>
        </w:rPr>
        <w:t>2010</w:t>
      </w:r>
      <w:r w:rsidR="0035190B">
        <w:rPr>
          <w:color w:val="000000" w:themeColor="text1"/>
          <w:sz w:val="20"/>
          <w:szCs w:val="20"/>
        </w:rPr>
        <w:t>, with negative figures therefore indicating reduction in CO</w:t>
      </w:r>
      <w:r w:rsidR="0035190B" w:rsidRPr="00401320">
        <w:rPr>
          <w:color w:val="000000" w:themeColor="text1"/>
          <w:sz w:val="20"/>
          <w:szCs w:val="20"/>
          <w:vertAlign w:val="subscript"/>
        </w:rPr>
        <w:t>2</w:t>
      </w:r>
      <w:r w:rsidR="0035190B">
        <w:rPr>
          <w:color w:val="000000" w:themeColor="text1"/>
          <w:sz w:val="20"/>
          <w:szCs w:val="20"/>
        </w:rPr>
        <w:t xml:space="preserve"> emissions</w:t>
      </w:r>
      <w:r w:rsidR="000E3F90" w:rsidRPr="00D35F39">
        <w:rPr>
          <w:color w:val="000000" w:themeColor="text1"/>
          <w:sz w:val="20"/>
          <w:szCs w:val="20"/>
        </w:rPr>
        <w:t>.</w:t>
      </w:r>
      <w:r w:rsidR="00F65181" w:rsidRPr="00D35F39">
        <w:rPr>
          <w:color w:val="000000" w:themeColor="text1"/>
          <w:sz w:val="20"/>
          <w:szCs w:val="20"/>
        </w:rPr>
        <w:t xml:space="preserve"> </w:t>
      </w:r>
    </w:p>
    <w:p w14:paraId="1D132F68" w14:textId="6FF2E905" w:rsidR="00AC7123" w:rsidRPr="00D35F39" w:rsidRDefault="00AC7123" w:rsidP="00600A05">
      <w:pPr>
        <w:spacing w:after="240" w:line="480" w:lineRule="auto"/>
        <w:divId w:val="434059591"/>
        <w:rPr>
          <w:b/>
          <w:color w:val="000000" w:themeColor="text1"/>
          <w:sz w:val="20"/>
          <w:szCs w:val="20"/>
        </w:rPr>
      </w:pPr>
      <w:r w:rsidRPr="00D35F39">
        <w:rPr>
          <w:b/>
          <w:color w:val="000000" w:themeColor="text1"/>
          <w:sz w:val="20"/>
          <w:szCs w:val="20"/>
        </w:rPr>
        <w:t xml:space="preserve">Table </w:t>
      </w:r>
      <w:r w:rsidR="002E1BDA">
        <w:rPr>
          <w:b/>
          <w:color w:val="000000" w:themeColor="text1"/>
          <w:sz w:val="20"/>
          <w:szCs w:val="20"/>
        </w:rPr>
        <w:t>5</w:t>
      </w:r>
    </w:p>
    <w:p w14:paraId="7B3E0946" w14:textId="1217F574" w:rsidR="004C06F6" w:rsidRDefault="00887DFC" w:rsidP="0074287C">
      <w:pPr>
        <w:spacing w:after="240" w:line="480" w:lineRule="auto"/>
        <w:divId w:val="434059591"/>
        <w:rPr>
          <w:i/>
          <w:color w:val="000000" w:themeColor="text1"/>
          <w:sz w:val="20"/>
          <w:szCs w:val="20"/>
        </w:rPr>
      </w:pPr>
      <w:r w:rsidRPr="00D35F39">
        <w:rPr>
          <w:color w:val="000000" w:themeColor="text1"/>
          <w:sz w:val="20"/>
          <w:szCs w:val="20"/>
        </w:rPr>
        <w:t xml:space="preserve">Greater reductions in energy use </w:t>
      </w:r>
      <w:r w:rsidR="009101FE">
        <w:rPr>
          <w:color w:val="000000" w:themeColor="text1"/>
          <w:sz w:val="20"/>
          <w:szCs w:val="20"/>
        </w:rPr>
        <w:t>are</w:t>
      </w:r>
      <w:r w:rsidR="009101FE" w:rsidRPr="00D35F39">
        <w:rPr>
          <w:color w:val="000000" w:themeColor="text1"/>
          <w:sz w:val="20"/>
          <w:szCs w:val="20"/>
        </w:rPr>
        <w:t xml:space="preserve"> </w:t>
      </w:r>
      <w:r w:rsidRPr="00D35F39">
        <w:rPr>
          <w:color w:val="000000" w:themeColor="text1"/>
          <w:sz w:val="20"/>
          <w:szCs w:val="20"/>
        </w:rPr>
        <w:t xml:space="preserve">seen in London relative to Milton Keynes under all intervention scenarios, with the highest gains seen in the </w:t>
      </w:r>
      <w:r w:rsidR="00F0051F">
        <w:rPr>
          <w:color w:val="000000" w:themeColor="text1"/>
          <w:sz w:val="20"/>
          <w:szCs w:val="20"/>
        </w:rPr>
        <w:t>EE</w:t>
      </w:r>
      <w:r w:rsidRPr="00D35F39">
        <w:rPr>
          <w:color w:val="000000" w:themeColor="text1"/>
          <w:sz w:val="20"/>
          <w:szCs w:val="20"/>
        </w:rPr>
        <w:t xml:space="preserve">+ </w:t>
      </w:r>
      <w:r>
        <w:rPr>
          <w:color w:val="000000" w:themeColor="text1"/>
          <w:sz w:val="20"/>
          <w:szCs w:val="20"/>
        </w:rPr>
        <w:t xml:space="preserve">scenario </w:t>
      </w:r>
      <w:r w:rsidRPr="00D35F39">
        <w:rPr>
          <w:color w:val="000000" w:themeColor="text1"/>
          <w:sz w:val="20"/>
          <w:szCs w:val="20"/>
        </w:rPr>
        <w:t xml:space="preserve">where no additional </w:t>
      </w:r>
      <w:r>
        <w:rPr>
          <w:color w:val="000000" w:themeColor="text1"/>
          <w:sz w:val="20"/>
          <w:szCs w:val="20"/>
        </w:rPr>
        <w:t>purpose provided ventilation</w:t>
      </w:r>
      <w:r w:rsidRPr="00D35F39">
        <w:rPr>
          <w:color w:val="000000" w:themeColor="text1"/>
          <w:sz w:val="20"/>
          <w:szCs w:val="20"/>
        </w:rPr>
        <w:t xml:space="preserve"> </w:t>
      </w:r>
      <w:r>
        <w:rPr>
          <w:color w:val="000000" w:themeColor="text1"/>
          <w:sz w:val="20"/>
          <w:szCs w:val="20"/>
        </w:rPr>
        <w:t>(</w:t>
      </w:r>
      <w:r w:rsidRPr="00D35F39">
        <w:rPr>
          <w:color w:val="000000" w:themeColor="text1"/>
          <w:sz w:val="20"/>
          <w:szCs w:val="20"/>
        </w:rPr>
        <w:t>PPV</w:t>
      </w:r>
      <w:r>
        <w:rPr>
          <w:color w:val="000000" w:themeColor="text1"/>
          <w:sz w:val="20"/>
          <w:szCs w:val="20"/>
        </w:rPr>
        <w:t>)</w:t>
      </w:r>
      <w:r w:rsidRPr="00D35F39">
        <w:rPr>
          <w:color w:val="000000" w:themeColor="text1"/>
          <w:sz w:val="20"/>
          <w:szCs w:val="20"/>
        </w:rPr>
        <w:t xml:space="preserve"> </w:t>
      </w:r>
      <w:r w:rsidR="00636964">
        <w:rPr>
          <w:color w:val="000000" w:themeColor="text1"/>
          <w:sz w:val="20"/>
          <w:szCs w:val="20"/>
        </w:rPr>
        <w:t>wa</w:t>
      </w:r>
      <w:r w:rsidRPr="00D35F39">
        <w:rPr>
          <w:color w:val="000000" w:themeColor="text1"/>
          <w:sz w:val="20"/>
          <w:szCs w:val="20"/>
        </w:rPr>
        <w:t>s a</w:t>
      </w:r>
      <w:r w:rsidR="00636964">
        <w:rPr>
          <w:color w:val="000000" w:themeColor="text1"/>
          <w:sz w:val="20"/>
          <w:szCs w:val="20"/>
        </w:rPr>
        <w:t>ssumed</w:t>
      </w:r>
      <w:r w:rsidRPr="00D35F39">
        <w:rPr>
          <w:color w:val="000000" w:themeColor="text1"/>
          <w:sz w:val="20"/>
          <w:szCs w:val="20"/>
        </w:rPr>
        <w:t xml:space="preserve">. </w:t>
      </w:r>
      <w:r>
        <w:rPr>
          <w:color w:val="000000" w:themeColor="text1"/>
          <w:sz w:val="20"/>
          <w:szCs w:val="20"/>
        </w:rPr>
        <w:t xml:space="preserve">For both the </w:t>
      </w:r>
      <w:r w:rsidR="00F0051F">
        <w:rPr>
          <w:color w:val="000000" w:themeColor="text1"/>
          <w:sz w:val="20"/>
          <w:szCs w:val="20"/>
        </w:rPr>
        <w:t>EE</w:t>
      </w:r>
      <w:r w:rsidR="009D349B" w:rsidRPr="009D349B">
        <w:rPr>
          <w:color w:val="000000" w:themeColor="text1"/>
          <w:sz w:val="20"/>
          <w:szCs w:val="20"/>
        </w:rPr>
        <w:t xml:space="preserve"> </w:t>
      </w:r>
      <w:r>
        <w:rPr>
          <w:color w:val="000000" w:themeColor="text1"/>
          <w:sz w:val="20"/>
          <w:szCs w:val="20"/>
        </w:rPr>
        <w:t xml:space="preserve">and </w:t>
      </w:r>
      <w:r w:rsidR="00F0051F">
        <w:rPr>
          <w:color w:val="000000" w:themeColor="text1"/>
          <w:sz w:val="20"/>
          <w:szCs w:val="20"/>
        </w:rPr>
        <w:t>EE</w:t>
      </w:r>
      <w:r>
        <w:rPr>
          <w:color w:val="000000" w:themeColor="text1"/>
          <w:sz w:val="20"/>
          <w:szCs w:val="20"/>
        </w:rPr>
        <w:t xml:space="preserve"> + scenarios, appreciably greater CO</w:t>
      </w:r>
      <w:r w:rsidRPr="00D96AD7">
        <w:rPr>
          <w:color w:val="000000" w:themeColor="text1"/>
          <w:sz w:val="20"/>
          <w:szCs w:val="20"/>
          <w:vertAlign w:val="subscript"/>
        </w:rPr>
        <w:t>2</w:t>
      </w:r>
      <w:r>
        <w:rPr>
          <w:color w:val="000000" w:themeColor="text1"/>
          <w:sz w:val="20"/>
          <w:szCs w:val="20"/>
        </w:rPr>
        <w:t xml:space="preserve"> reductions </w:t>
      </w:r>
      <w:r w:rsidR="00636964">
        <w:rPr>
          <w:color w:val="000000" w:themeColor="text1"/>
          <w:sz w:val="20"/>
          <w:szCs w:val="20"/>
        </w:rPr>
        <w:t>we</w:t>
      </w:r>
      <w:r>
        <w:rPr>
          <w:color w:val="000000" w:themeColor="text1"/>
          <w:sz w:val="20"/>
          <w:szCs w:val="20"/>
        </w:rPr>
        <w:t xml:space="preserve">re </w:t>
      </w:r>
      <w:r w:rsidR="00636964">
        <w:rPr>
          <w:color w:val="000000" w:themeColor="text1"/>
          <w:sz w:val="20"/>
          <w:szCs w:val="20"/>
        </w:rPr>
        <w:t>seen</w:t>
      </w:r>
      <w:r>
        <w:rPr>
          <w:color w:val="000000" w:themeColor="text1"/>
          <w:sz w:val="20"/>
          <w:szCs w:val="20"/>
        </w:rPr>
        <w:t xml:space="preserve"> in London than in Milton Keynes</w:t>
      </w:r>
      <w:r w:rsidR="00E2142B">
        <w:rPr>
          <w:color w:val="000000" w:themeColor="text1"/>
          <w:sz w:val="20"/>
          <w:szCs w:val="20"/>
        </w:rPr>
        <w:t>.</w:t>
      </w:r>
      <w:r w:rsidR="009101FE">
        <w:rPr>
          <w:color w:val="000000" w:themeColor="text1"/>
          <w:sz w:val="20"/>
          <w:szCs w:val="20"/>
        </w:rPr>
        <w:t xml:space="preserve"> </w:t>
      </w:r>
      <w:r>
        <w:rPr>
          <w:color w:val="000000" w:themeColor="text1"/>
          <w:sz w:val="20"/>
          <w:szCs w:val="20"/>
        </w:rPr>
        <w:t xml:space="preserve"> </w:t>
      </w:r>
      <w:r w:rsidR="00AF08EF">
        <w:rPr>
          <w:color w:val="000000" w:themeColor="text1"/>
          <w:sz w:val="20"/>
          <w:szCs w:val="20"/>
        </w:rPr>
        <w:t>A</w:t>
      </w:r>
      <w:r>
        <w:rPr>
          <w:color w:val="000000" w:themeColor="text1"/>
          <w:sz w:val="20"/>
          <w:szCs w:val="20"/>
        </w:rPr>
        <w:t xml:space="preserve">ggressive </w:t>
      </w:r>
      <w:r w:rsidR="00B0692B">
        <w:rPr>
          <w:color w:val="000000" w:themeColor="text1"/>
          <w:sz w:val="20"/>
          <w:szCs w:val="20"/>
        </w:rPr>
        <w:t>decarboni</w:t>
      </w:r>
      <w:r w:rsidR="00636964">
        <w:rPr>
          <w:color w:val="000000" w:themeColor="text1"/>
          <w:sz w:val="20"/>
          <w:szCs w:val="20"/>
        </w:rPr>
        <w:t>z</w:t>
      </w:r>
      <w:r w:rsidR="00B0692B">
        <w:rPr>
          <w:color w:val="000000" w:themeColor="text1"/>
          <w:sz w:val="20"/>
          <w:szCs w:val="20"/>
        </w:rPr>
        <w:t>ation</w:t>
      </w:r>
      <w:r>
        <w:rPr>
          <w:color w:val="000000" w:themeColor="text1"/>
          <w:sz w:val="20"/>
          <w:szCs w:val="20"/>
        </w:rPr>
        <w:t xml:space="preserve"> of the electric grid, combined with housing measures in the </w:t>
      </w:r>
      <w:r w:rsidR="00E04BB6">
        <w:rPr>
          <w:color w:val="000000" w:themeColor="text1"/>
          <w:sz w:val="20"/>
          <w:szCs w:val="20"/>
        </w:rPr>
        <w:t>LCS</w:t>
      </w:r>
      <w:r w:rsidRPr="00D35F39">
        <w:rPr>
          <w:color w:val="000000" w:themeColor="text1"/>
          <w:sz w:val="20"/>
          <w:szCs w:val="20"/>
        </w:rPr>
        <w:t xml:space="preserve"> scenario exceed</w:t>
      </w:r>
      <w:r w:rsidR="00636964">
        <w:rPr>
          <w:color w:val="000000" w:themeColor="text1"/>
          <w:sz w:val="20"/>
          <w:szCs w:val="20"/>
        </w:rPr>
        <w:t>ed</w:t>
      </w:r>
      <w:r w:rsidRPr="00D35F39">
        <w:rPr>
          <w:color w:val="000000" w:themeColor="text1"/>
          <w:sz w:val="20"/>
          <w:szCs w:val="20"/>
        </w:rPr>
        <w:t xml:space="preserve"> the target</w:t>
      </w:r>
      <w:r w:rsidR="00636964">
        <w:rPr>
          <w:color w:val="000000" w:themeColor="text1"/>
          <w:sz w:val="20"/>
          <w:szCs w:val="20"/>
        </w:rPr>
        <w:t xml:space="preserve">s needed for compliance with </w:t>
      </w:r>
      <w:r w:rsidRPr="00D35F39">
        <w:rPr>
          <w:color w:val="000000" w:themeColor="text1"/>
          <w:sz w:val="20"/>
          <w:szCs w:val="20"/>
        </w:rPr>
        <w:t>the Climate Change Act, 2008 in both locations</w:t>
      </w:r>
      <w:r>
        <w:rPr>
          <w:color w:val="000000" w:themeColor="text1"/>
          <w:sz w:val="20"/>
          <w:szCs w:val="20"/>
        </w:rPr>
        <w:t xml:space="preserve">. The addition of ventilation interventions </w:t>
      </w:r>
      <w:r w:rsidR="000300B5">
        <w:rPr>
          <w:color w:val="000000" w:themeColor="text1"/>
          <w:sz w:val="20"/>
          <w:szCs w:val="20"/>
        </w:rPr>
        <w:t>increased energy use by an average of 8.6% across the scenarios.</w:t>
      </w:r>
      <w:r w:rsidR="00E04BB6">
        <w:rPr>
          <w:color w:val="000000" w:themeColor="text1"/>
          <w:sz w:val="20"/>
          <w:szCs w:val="20"/>
        </w:rPr>
        <w:t xml:space="preserve"> </w:t>
      </w:r>
      <w:r w:rsidR="009101FE" w:rsidRPr="009101FE">
        <w:t xml:space="preserve"> </w:t>
      </w:r>
    </w:p>
    <w:p w14:paraId="15F6C57B" w14:textId="77777777" w:rsidR="005B7F1E" w:rsidRPr="00D35F39" w:rsidRDefault="005177EA" w:rsidP="00986838">
      <w:pPr>
        <w:spacing w:after="0" w:line="480" w:lineRule="auto"/>
        <w:divId w:val="434059591"/>
        <w:rPr>
          <w:i/>
          <w:color w:val="000000" w:themeColor="text1"/>
          <w:sz w:val="20"/>
          <w:szCs w:val="20"/>
        </w:rPr>
      </w:pPr>
      <w:r w:rsidRPr="00D35F39">
        <w:rPr>
          <w:i/>
          <w:color w:val="000000" w:themeColor="text1"/>
          <w:sz w:val="20"/>
          <w:szCs w:val="20"/>
        </w:rPr>
        <w:t>3.2. Temperature and Pollutant Concentrations</w:t>
      </w:r>
      <w:r w:rsidR="00B8285F" w:rsidRPr="00B8285F">
        <w:rPr>
          <w:i/>
          <w:color w:val="000000" w:themeColor="text1"/>
          <w:sz w:val="20"/>
          <w:szCs w:val="20"/>
        </w:rPr>
        <w:t xml:space="preserve"> </w:t>
      </w:r>
      <w:r w:rsidR="00B8285F" w:rsidRPr="00D35F39">
        <w:rPr>
          <w:i/>
          <w:color w:val="000000" w:themeColor="text1"/>
          <w:sz w:val="20"/>
          <w:szCs w:val="20"/>
        </w:rPr>
        <w:t>Changes</w:t>
      </w:r>
    </w:p>
    <w:p w14:paraId="3702CDAF" w14:textId="1F7293F2" w:rsidR="00986838" w:rsidRPr="00D35F39" w:rsidRDefault="00986838" w:rsidP="00986838">
      <w:pPr>
        <w:spacing w:after="0" w:line="480" w:lineRule="auto"/>
        <w:divId w:val="434059591"/>
        <w:rPr>
          <w:color w:val="000000" w:themeColor="text1"/>
          <w:sz w:val="20"/>
          <w:szCs w:val="20"/>
        </w:rPr>
      </w:pPr>
      <w:r w:rsidRPr="00D35F39">
        <w:rPr>
          <w:color w:val="000000" w:themeColor="text1"/>
          <w:sz w:val="20"/>
          <w:szCs w:val="20"/>
        </w:rPr>
        <w:t xml:space="preserve">Table </w:t>
      </w:r>
      <w:r w:rsidR="00454626">
        <w:rPr>
          <w:color w:val="000000" w:themeColor="text1"/>
          <w:sz w:val="20"/>
          <w:szCs w:val="20"/>
        </w:rPr>
        <w:t>5</w:t>
      </w:r>
      <w:r w:rsidR="00160703">
        <w:rPr>
          <w:color w:val="000000" w:themeColor="text1"/>
          <w:sz w:val="20"/>
          <w:szCs w:val="20"/>
        </w:rPr>
        <w:t xml:space="preserve"> </w:t>
      </w:r>
      <w:r w:rsidRPr="00D35F39">
        <w:rPr>
          <w:color w:val="000000" w:themeColor="text1"/>
          <w:sz w:val="20"/>
          <w:szCs w:val="20"/>
        </w:rPr>
        <w:t>show</w:t>
      </w:r>
      <w:r w:rsidR="0014696F">
        <w:rPr>
          <w:color w:val="000000" w:themeColor="text1"/>
          <w:sz w:val="20"/>
          <w:szCs w:val="20"/>
        </w:rPr>
        <w:t>s</w:t>
      </w:r>
      <w:r w:rsidRPr="00D35F39">
        <w:rPr>
          <w:color w:val="000000" w:themeColor="text1"/>
          <w:sz w:val="20"/>
          <w:szCs w:val="20"/>
        </w:rPr>
        <w:t xml:space="preserve"> the changes that occur in mean indoor temperature</w:t>
      </w:r>
      <w:r w:rsidR="006B16B3">
        <w:rPr>
          <w:color w:val="000000" w:themeColor="text1"/>
          <w:sz w:val="20"/>
          <w:szCs w:val="20"/>
        </w:rPr>
        <w:t xml:space="preserve"> during the heating season</w:t>
      </w:r>
      <w:r w:rsidRPr="00D35F39">
        <w:rPr>
          <w:color w:val="000000" w:themeColor="text1"/>
          <w:sz w:val="20"/>
          <w:szCs w:val="20"/>
        </w:rPr>
        <w:t xml:space="preserve"> and </w:t>
      </w:r>
      <w:r w:rsidR="006B16B3">
        <w:rPr>
          <w:color w:val="000000" w:themeColor="text1"/>
          <w:sz w:val="20"/>
          <w:szCs w:val="20"/>
        </w:rPr>
        <w:t xml:space="preserve">annual </w:t>
      </w:r>
      <w:r w:rsidRPr="00D35F39">
        <w:rPr>
          <w:color w:val="000000" w:themeColor="text1"/>
          <w:sz w:val="20"/>
          <w:szCs w:val="20"/>
        </w:rPr>
        <w:t xml:space="preserve">airborne pollutant concentrations following the installation of both energy efficiency and </w:t>
      </w:r>
      <w:r w:rsidR="008F394E">
        <w:rPr>
          <w:color w:val="000000" w:themeColor="text1"/>
          <w:sz w:val="20"/>
          <w:szCs w:val="20"/>
        </w:rPr>
        <w:t xml:space="preserve">PPV </w:t>
      </w:r>
      <w:r w:rsidRPr="00D35F39">
        <w:rPr>
          <w:color w:val="000000" w:themeColor="text1"/>
          <w:sz w:val="20"/>
          <w:szCs w:val="20"/>
        </w:rPr>
        <w:t xml:space="preserve">interventions </w:t>
      </w:r>
      <w:r w:rsidR="00487EC1">
        <w:rPr>
          <w:color w:val="000000" w:themeColor="text1"/>
          <w:sz w:val="20"/>
          <w:szCs w:val="20"/>
        </w:rPr>
        <w:t>under</w:t>
      </w:r>
      <w:r w:rsidRPr="00D35F39">
        <w:rPr>
          <w:color w:val="000000" w:themeColor="text1"/>
          <w:sz w:val="20"/>
          <w:szCs w:val="20"/>
        </w:rPr>
        <w:t xml:space="preserve"> the </w:t>
      </w:r>
      <w:r w:rsidR="00122525">
        <w:rPr>
          <w:color w:val="000000" w:themeColor="text1"/>
          <w:sz w:val="20"/>
          <w:szCs w:val="20"/>
        </w:rPr>
        <w:t>three</w:t>
      </w:r>
      <w:r w:rsidR="00122525" w:rsidRPr="00D35F39">
        <w:rPr>
          <w:color w:val="000000" w:themeColor="text1"/>
          <w:sz w:val="20"/>
          <w:szCs w:val="20"/>
        </w:rPr>
        <w:t xml:space="preserve"> </w:t>
      </w:r>
      <w:r w:rsidRPr="00D35F39">
        <w:rPr>
          <w:color w:val="000000" w:themeColor="text1"/>
          <w:sz w:val="20"/>
          <w:szCs w:val="20"/>
        </w:rPr>
        <w:t xml:space="preserve">scenarios </w:t>
      </w:r>
      <w:r w:rsidR="00E2142B">
        <w:rPr>
          <w:color w:val="000000" w:themeColor="text1"/>
          <w:sz w:val="20"/>
          <w:szCs w:val="20"/>
        </w:rPr>
        <w:t>for</w:t>
      </w:r>
      <w:r w:rsidRPr="00D35F39">
        <w:rPr>
          <w:color w:val="000000" w:themeColor="text1"/>
          <w:sz w:val="20"/>
          <w:szCs w:val="20"/>
        </w:rPr>
        <w:t xml:space="preserve"> 2050.</w:t>
      </w:r>
    </w:p>
    <w:p w14:paraId="01998FCA" w14:textId="77777777" w:rsidR="005B7F1E" w:rsidRPr="00D35F39" w:rsidRDefault="005B7F1E" w:rsidP="006F3BC7">
      <w:pPr>
        <w:spacing w:after="0" w:line="240" w:lineRule="auto"/>
        <w:divId w:val="434059591"/>
        <w:rPr>
          <w:b/>
          <w:color w:val="000000" w:themeColor="text1"/>
          <w:sz w:val="20"/>
          <w:szCs w:val="20"/>
        </w:rPr>
      </w:pPr>
    </w:p>
    <w:p w14:paraId="23F84C32" w14:textId="77777777" w:rsidR="00633CC5" w:rsidRDefault="00633CC5" w:rsidP="00633CC5">
      <w:pPr>
        <w:spacing w:after="0"/>
        <w:contextualSpacing/>
        <w:jc w:val="left"/>
        <w:divId w:val="434059591"/>
        <w:rPr>
          <w:b/>
          <w:color w:val="000000"/>
          <w:sz w:val="20"/>
          <w:szCs w:val="20"/>
        </w:rPr>
      </w:pPr>
      <w:r w:rsidRPr="00D35F39">
        <w:rPr>
          <w:b/>
          <w:color w:val="000000"/>
          <w:sz w:val="20"/>
          <w:szCs w:val="20"/>
        </w:rPr>
        <w:t xml:space="preserve">Tables </w:t>
      </w:r>
      <w:r>
        <w:rPr>
          <w:b/>
          <w:color w:val="000000"/>
          <w:sz w:val="20"/>
          <w:szCs w:val="20"/>
        </w:rPr>
        <w:t>6</w:t>
      </w:r>
    </w:p>
    <w:p w14:paraId="078FDF40" w14:textId="77777777" w:rsidR="00633CC5" w:rsidRPr="00D67AE8" w:rsidRDefault="00633CC5" w:rsidP="00633CC5">
      <w:pPr>
        <w:spacing w:after="0" w:line="480" w:lineRule="auto"/>
        <w:contextualSpacing/>
        <w:divId w:val="434059591"/>
        <w:rPr>
          <w:color w:val="000000"/>
          <w:sz w:val="20"/>
          <w:szCs w:val="20"/>
        </w:rPr>
      </w:pPr>
      <w:r w:rsidRPr="00830C7D">
        <w:rPr>
          <w:rFonts w:eastAsia="Times New Roman"/>
          <w:color w:val="000000"/>
          <w:sz w:val="20"/>
          <w:szCs w:val="20"/>
          <w:lang w:eastAsia="en-GB"/>
        </w:rPr>
        <w:t>A mould risk of &gt;1 indicates the likely presence of mould in a property</w:t>
      </w:r>
      <w:r>
        <w:rPr>
          <w:color w:val="000000"/>
          <w:sz w:val="20"/>
          <w:szCs w:val="20"/>
        </w:rPr>
        <w:t xml:space="preserve">, with </w:t>
      </w:r>
      <w:r w:rsidRPr="00830C7D">
        <w:rPr>
          <w:rFonts w:eastAsia="Times New Roman"/>
          <w:color w:val="000000"/>
          <w:sz w:val="20"/>
          <w:szCs w:val="20"/>
          <w:lang w:eastAsia="en-GB"/>
        </w:rPr>
        <w:t>figures represent</w:t>
      </w:r>
      <w:r>
        <w:rPr>
          <w:color w:val="000000"/>
          <w:sz w:val="20"/>
          <w:szCs w:val="20"/>
        </w:rPr>
        <w:t>ing</w:t>
      </w:r>
      <w:r w:rsidRPr="00830C7D">
        <w:rPr>
          <w:rFonts w:eastAsia="Times New Roman"/>
          <w:color w:val="000000"/>
          <w:sz w:val="20"/>
          <w:szCs w:val="20"/>
          <w:lang w:eastAsia="en-GB"/>
        </w:rPr>
        <w:t xml:space="preserve"> the % of properties where the mould risk is &gt;1. A decrease shows a reduction in health risk. However, these changes in mould risk have not been used in the calculation of health impact for this work (though there is some evidence of likely impact, particularly in children).</w:t>
      </w:r>
      <w:r>
        <w:rPr>
          <w:color w:val="000000"/>
          <w:sz w:val="20"/>
          <w:szCs w:val="20"/>
        </w:rPr>
        <w:t xml:space="preserve"> For scenarios with PPV </w:t>
      </w:r>
      <w:r w:rsidRPr="00D67AE8">
        <w:rPr>
          <w:color w:val="000000"/>
          <w:sz w:val="20"/>
          <w:szCs w:val="20"/>
        </w:rPr>
        <w:t>Higher mean indoor temperatures during the heating season are seen in the housing stock following retrofitting, with appreciable reductions in most of the pollutants studied except for radon gas, which shows small reductions in both locations. As a continuous source radon is not appreciably dissipated by intermittent ventilation measures such as extract fans. However, the values seen are typically low for these cities and well below the</w:t>
      </w:r>
      <w:r>
        <w:rPr>
          <w:color w:val="000000"/>
          <w:sz w:val="20"/>
          <w:szCs w:val="20"/>
        </w:rPr>
        <w:t xml:space="preserve"> 200Bq/m</w:t>
      </w:r>
      <w:r w:rsidRPr="00D67AE8">
        <w:rPr>
          <w:color w:val="000000"/>
          <w:sz w:val="20"/>
          <w:szCs w:val="20"/>
          <w:vertAlign w:val="superscript"/>
        </w:rPr>
        <w:t>3</w:t>
      </w:r>
      <w:r w:rsidRPr="00D67AE8">
        <w:rPr>
          <w:color w:val="000000"/>
          <w:sz w:val="20"/>
          <w:szCs w:val="20"/>
        </w:rPr>
        <w:t xml:space="preserve"> action level (HPA, 2011). In Milton Keynes, the housing stock is more recent and therefore built to a higher energy efficiency standard and greater airtightness. The housing typology also differs appreciably with over 50% of London’s stock being purpose built flats (requiring simpler measures to obtain gains), while Milton Keynes stock comprises 80% detached, semi-detached and terraced dwellings with general larger building volumes (MKiO, 2014). This is reflected in the greater reduction in indoor sourced pollutants seem in the London stock.</w:t>
      </w:r>
      <w:r>
        <w:rPr>
          <w:color w:val="000000"/>
          <w:sz w:val="20"/>
          <w:szCs w:val="20"/>
        </w:rPr>
        <w:t xml:space="preserve"> </w:t>
      </w:r>
    </w:p>
    <w:p w14:paraId="35745FDC" w14:textId="77777777" w:rsidR="00633CC5" w:rsidRPr="00D35F39" w:rsidRDefault="00633CC5" w:rsidP="00633CC5">
      <w:pPr>
        <w:spacing w:after="0" w:line="240" w:lineRule="auto"/>
        <w:divId w:val="434059591"/>
        <w:rPr>
          <w:b/>
          <w:color w:val="000000"/>
          <w:sz w:val="20"/>
          <w:szCs w:val="20"/>
        </w:rPr>
      </w:pPr>
    </w:p>
    <w:p w14:paraId="4C8E4AF2" w14:textId="77777777" w:rsidR="00633CC5" w:rsidRPr="00D67AE8" w:rsidRDefault="00633CC5" w:rsidP="00633CC5">
      <w:pPr>
        <w:spacing w:after="0" w:line="480" w:lineRule="auto"/>
        <w:jc w:val="left"/>
        <w:divId w:val="434059591"/>
        <w:rPr>
          <w:rFonts w:eastAsia="Times New Roman"/>
          <w:color w:val="000000"/>
          <w:sz w:val="20"/>
          <w:szCs w:val="20"/>
          <w:lang w:eastAsia="en-GB"/>
        </w:rPr>
      </w:pPr>
      <w:r w:rsidRPr="00D67AE8">
        <w:rPr>
          <w:rFonts w:eastAsia="Times New Roman"/>
          <w:color w:val="000000"/>
          <w:sz w:val="20"/>
          <w:szCs w:val="20"/>
          <w:lang w:eastAsia="en-GB"/>
        </w:rPr>
        <w:t>The changes in mean indoor heating season temperatures were only marginally greater without PPV than in the scenarios which included it. The ingress of PM</w:t>
      </w:r>
      <w:r w:rsidRPr="00D67AE8">
        <w:rPr>
          <w:rFonts w:eastAsia="Times New Roman"/>
          <w:color w:val="000000"/>
          <w:sz w:val="20"/>
          <w:szCs w:val="20"/>
          <w:vertAlign w:val="subscript"/>
          <w:lang w:eastAsia="en-GB"/>
        </w:rPr>
        <w:t>2.5</w:t>
      </w:r>
      <w:r w:rsidRPr="00D67AE8">
        <w:rPr>
          <w:rFonts w:eastAsia="Times New Roman"/>
          <w:color w:val="000000"/>
          <w:sz w:val="20"/>
          <w:szCs w:val="20"/>
          <w:lang w:eastAsia="en-GB"/>
        </w:rPr>
        <w:t xml:space="preserve"> derived from the outdoor air was reduced by the greater </w:t>
      </w:r>
      <w:r w:rsidRPr="00D67AE8">
        <w:rPr>
          <w:rFonts w:eastAsia="Times New Roman"/>
          <w:color w:val="000000"/>
          <w:sz w:val="20"/>
          <w:szCs w:val="20"/>
          <w:lang w:eastAsia="en-GB"/>
        </w:rPr>
        <w:lastRenderedPageBreak/>
        <w:t xml:space="preserve">airtightness without PPV, but concentrations of all other pollutants showed increases from the 2010 base line for both locations. London dwellings suffer more, due to greater relative reduction in envelope permeability and therefore air-tightness. The exception is radon because of the greater emission levels seen in Milton Keynes (which are determined by local geology) (HPA, 2011). </w:t>
      </w:r>
    </w:p>
    <w:p w14:paraId="7AC82794" w14:textId="77777777" w:rsidR="005F3917" w:rsidRPr="00D35F39" w:rsidRDefault="005F3917" w:rsidP="00B61231">
      <w:pPr>
        <w:spacing w:after="0"/>
        <w:contextualSpacing/>
        <w:jc w:val="left"/>
        <w:divId w:val="434059591"/>
        <w:rPr>
          <w:rFonts w:eastAsia="Times New Roman"/>
          <w:i/>
          <w:color w:val="000000" w:themeColor="text1"/>
          <w:sz w:val="20"/>
          <w:szCs w:val="20"/>
          <w:lang w:eastAsia="en-GB"/>
        </w:rPr>
      </w:pPr>
    </w:p>
    <w:p w14:paraId="754B2BD2" w14:textId="36398A54" w:rsidR="00B61231" w:rsidRPr="00D35F39" w:rsidRDefault="005177EA" w:rsidP="00B61231">
      <w:pPr>
        <w:spacing w:after="0"/>
        <w:contextualSpacing/>
        <w:jc w:val="left"/>
        <w:divId w:val="434059591"/>
        <w:rPr>
          <w:rFonts w:ascii="Calibri" w:eastAsia="Times New Roman" w:hAnsi="Calibri" w:cs="Calibri"/>
          <w:sz w:val="20"/>
          <w:szCs w:val="20"/>
          <w:lang w:eastAsia="en-GB"/>
        </w:rPr>
      </w:pPr>
      <w:r w:rsidRPr="00D35F39">
        <w:rPr>
          <w:rFonts w:eastAsia="Times New Roman"/>
          <w:i/>
          <w:color w:val="000000" w:themeColor="text1"/>
          <w:sz w:val="20"/>
          <w:szCs w:val="20"/>
          <w:lang w:eastAsia="en-GB"/>
        </w:rPr>
        <w:t xml:space="preserve">3.3. </w:t>
      </w:r>
      <w:r w:rsidR="00B61231" w:rsidRPr="00D35F39">
        <w:rPr>
          <w:rFonts w:eastAsia="Times New Roman"/>
          <w:i/>
          <w:color w:val="000000" w:themeColor="text1"/>
          <w:sz w:val="20"/>
          <w:szCs w:val="20"/>
          <w:lang w:eastAsia="en-GB"/>
        </w:rPr>
        <w:t xml:space="preserve">Health </w:t>
      </w:r>
      <w:r w:rsidR="00BC421C" w:rsidRPr="00D35F39">
        <w:rPr>
          <w:rFonts w:eastAsia="Times New Roman"/>
          <w:i/>
          <w:color w:val="000000" w:themeColor="text1"/>
          <w:sz w:val="20"/>
          <w:szCs w:val="20"/>
          <w:lang w:eastAsia="en-GB"/>
        </w:rPr>
        <w:t>Impact</w:t>
      </w:r>
      <w:r w:rsidR="0074287C">
        <w:rPr>
          <w:rFonts w:eastAsia="Times New Roman"/>
          <w:i/>
          <w:color w:val="000000" w:themeColor="text1"/>
          <w:sz w:val="20"/>
          <w:szCs w:val="20"/>
          <w:lang w:eastAsia="en-GB"/>
        </w:rPr>
        <w:t>s</w:t>
      </w:r>
      <w:r w:rsidR="00F762A6" w:rsidRPr="00D35F39">
        <w:rPr>
          <w:rFonts w:eastAsia="Times New Roman"/>
          <w:i/>
          <w:color w:val="000000" w:themeColor="text1"/>
          <w:sz w:val="20"/>
          <w:szCs w:val="20"/>
          <w:lang w:eastAsia="en-GB"/>
        </w:rPr>
        <w:tab/>
      </w:r>
    </w:p>
    <w:p w14:paraId="5FDD04C2" w14:textId="326ADA44" w:rsidR="00797DBF" w:rsidRPr="00D35F39" w:rsidRDefault="00797DBF" w:rsidP="00797DBF">
      <w:pPr>
        <w:spacing w:after="240" w:line="480" w:lineRule="auto"/>
        <w:divId w:val="434059591"/>
        <w:rPr>
          <w:rFonts w:eastAsia="Times New Roman"/>
          <w:b/>
          <w:sz w:val="20"/>
          <w:szCs w:val="20"/>
          <w:lang w:eastAsia="en-GB"/>
        </w:rPr>
      </w:pPr>
      <w:r>
        <w:rPr>
          <w:rFonts w:eastAsia="Times New Roman"/>
          <w:sz w:val="20"/>
          <w:szCs w:val="20"/>
          <w:lang w:eastAsia="en-GB"/>
        </w:rPr>
        <w:t xml:space="preserve">The impact on </w:t>
      </w:r>
      <w:r w:rsidR="000B4FEE">
        <w:rPr>
          <w:rFonts w:eastAsia="Times New Roman"/>
          <w:sz w:val="20"/>
          <w:szCs w:val="20"/>
          <w:lang w:eastAsia="en-GB"/>
        </w:rPr>
        <w:t>health measured</w:t>
      </w:r>
      <w:r>
        <w:rPr>
          <w:rFonts w:eastAsia="Times New Roman"/>
          <w:sz w:val="20"/>
          <w:szCs w:val="20"/>
          <w:lang w:eastAsia="en-GB"/>
        </w:rPr>
        <w:t xml:space="preserve"> in terms of the </w:t>
      </w:r>
      <w:r w:rsidR="006901F8" w:rsidRPr="00401320">
        <w:rPr>
          <w:rFonts w:eastAsia="Times New Roman"/>
          <w:i/>
          <w:sz w:val="20"/>
          <w:szCs w:val="20"/>
          <w:lang w:eastAsia="en-GB"/>
        </w:rPr>
        <w:t>per capita</w:t>
      </w:r>
      <w:r w:rsidR="006901F8">
        <w:rPr>
          <w:rFonts w:eastAsia="Times New Roman"/>
          <w:sz w:val="20"/>
          <w:szCs w:val="20"/>
          <w:lang w:eastAsia="en-GB"/>
        </w:rPr>
        <w:t xml:space="preserve"> </w:t>
      </w:r>
      <w:r>
        <w:rPr>
          <w:rFonts w:eastAsia="Times New Roman"/>
          <w:sz w:val="20"/>
          <w:szCs w:val="20"/>
          <w:lang w:eastAsia="en-GB"/>
        </w:rPr>
        <w:t>total of life years gained (Table 7) is greater in</w:t>
      </w:r>
      <w:r w:rsidR="006901F8">
        <w:rPr>
          <w:rFonts w:eastAsia="Times New Roman"/>
          <w:sz w:val="20"/>
          <w:szCs w:val="20"/>
          <w:lang w:eastAsia="en-GB"/>
        </w:rPr>
        <w:t xml:space="preserve"> magnitude in </w:t>
      </w:r>
      <w:r>
        <w:rPr>
          <w:rFonts w:eastAsia="Times New Roman"/>
          <w:sz w:val="20"/>
          <w:szCs w:val="20"/>
          <w:lang w:eastAsia="en-GB"/>
        </w:rPr>
        <w:t xml:space="preserve">London than in Milton Keynes. </w:t>
      </w:r>
      <w:r w:rsidR="00024CCF" w:rsidRPr="00024CCF">
        <w:rPr>
          <w:rFonts w:eastAsia="Times New Roman"/>
          <w:sz w:val="20"/>
          <w:szCs w:val="20"/>
          <w:lang w:eastAsia="en-GB"/>
        </w:rPr>
        <w:t>The</w:t>
      </w:r>
      <w:r w:rsidR="00024CCF">
        <w:rPr>
          <w:rFonts w:eastAsia="Times New Roman"/>
          <w:sz w:val="20"/>
          <w:szCs w:val="20"/>
          <w:lang w:eastAsia="en-GB"/>
        </w:rPr>
        <w:t>se</w:t>
      </w:r>
      <w:r w:rsidR="00024CCF" w:rsidRPr="00024CCF">
        <w:rPr>
          <w:rFonts w:eastAsia="Times New Roman"/>
          <w:sz w:val="20"/>
          <w:szCs w:val="20"/>
          <w:lang w:eastAsia="en-GB"/>
        </w:rPr>
        <w:t xml:space="preserve"> impacts translate into increases in average life expectancy at birth of </w:t>
      </w:r>
      <w:r w:rsidR="00024CCF">
        <w:rPr>
          <w:rFonts w:eastAsia="Times New Roman"/>
          <w:sz w:val="20"/>
          <w:szCs w:val="20"/>
          <w:lang w:eastAsia="en-GB"/>
        </w:rPr>
        <w:t>~3 months (Milton Keynes) and ~</w:t>
      </w:r>
      <w:r w:rsidR="00024CCF" w:rsidRPr="00024CCF">
        <w:rPr>
          <w:rFonts w:eastAsia="Times New Roman"/>
          <w:sz w:val="20"/>
          <w:szCs w:val="20"/>
          <w:lang w:eastAsia="en-GB"/>
        </w:rPr>
        <w:t xml:space="preserve">4 months (London) with PPV, but </w:t>
      </w:r>
      <w:r w:rsidR="00024CCF" w:rsidRPr="00401320">
        <w:rPr>
          <w:rFonts w:eastAsia="Times New Roman"/>
          <w:i/>
          <w:sz w:val="20"/>
          <w:szCs w:val="20"/>
          <w:lang w:eastAsia="en-GB"/>
        </w:rPr>
        <w:t>decreases</w:t>
      </w:r>
      <w:r w:rsidR="00024CCF" w:rsidRPr="00024CCF">
        <w:rPr>
          <w:rFonts w:eastAsia="Times New Roman"/>
          <w:sz w:val="20"/>
          <w:szCs w:val="20"/>
          <w:lang w:eastAsia="en-GB"/>
        </w:rPr>
        <w:t xml:space="preserve"> in life expectancy of </w:t>
      </w:r>
      <w:r w:rsidR="00024CCF">
        <w:rPr>
          <w:rFonts w:eastAsia="Times New Roman"/>
          <w:sz w:val="20"/>
          <w:szCs w:val="20"/>
          <w:lang w:eastAsia="en-GB"/>
        </w:rPr>
        <w:t>~2 months (Milton Keynes) and</w:t>
      </w:r>
      <w:r w:rsidR="00024CCF" w:rsidRPr="00024CCF">
        <w:rPr>
          <w:rFonts w:eastAsia="Times New Roman"/>
          <w:sz w:val="20"/>
          <w:szCs w:val="20"/>
          <w:lang w:eastAsia="en-GB"/>
        </w:rPr>
        <w:t xml:space="preserve"> </w:t>
      </w:r>
      <w:r w:rsidR="00024CCF">
        <w:rPr>
          <w:rFonts w:eastAsia="Times New Roman"/>
          <w:sz w:val="20"/>
          <w:szCs w:val="20"/>
          <w:lang w:eastAsia="en-GB"/>
        </w:rPr>
        <w:t>~</w:t>
      </w:r>
      <w:r w:rsidR="00024CCF" w:rsidRPr="00024CCF">
        <w:rPr>
          <w:rFonts w:eastAsia="Times New Roman"/>
          <w:sz w:val="20"/>
          <w:szCs w:val="20"/>
          <w:lang w:eastAsia="en-GB"/>
        </w:rPr>
        <w:t>5 months (London) if PPV is not installed.</w:t>
      </w:r>
      <w:r w:rsidR="00024CCF">
        <w:rPr>
          <w:rFonts w:eastAsia="Times New Roman"/>
          <w:sz w:val="20"/>
          <w:szCs w:val="20"/>
          <w:lang w:eastAsia="en-GB"/>
        </w:rPr>
        <w:t xml:space="preserve"> </w:t>
      </w:r>
      <w:r>
        <w:rPr>
          <w:rFonts w:eastAsia="Times New Roman"/>
          <w:sz w:val="20"/>
          <w:szCs w:val="20"/>
          <w:lang w:eastAsia="en-GB"/>
        </w:rPr>
        <w:t>This reflects the larger changes in the modelled indoor exposures in London, which are due to the greater potential for improving the housing stock</w:t>
      </w:r>
      <w:r w:rsidR="00C77020" w:rsidRPr="00C77020">
        <w:t xml:space="preserve"> </w:t>
      </w:r>
      <w:r w:rsidR="00C77020" w:rsidRPr="00C77020">
        <w:rPr>
          <w:rFonts w:eastAsia="Times New Roman"/>
          <w:sz w:val="20"/>
          <w:szCs w:val="20"/>
          <w:lang w:eastAsia="en-GB"/>
        </w:rPr>
        <w:t>primarily due to the greater age range of the London stock (generally older, less energy efficient dwellings)</w:t>
      </w:r>
      <w:r w:rsidR="000B4FEE">
        <w:rPr>
          <w:rFonts w:eastAsia="Times New Roman"/>
          <w:sz w:val="20"/>
          <w:szCs w:val="20"/>
          <w:lang w:eastAsia="en-GB"/>
        </w:rPr>
        <w:t>.</w:t>
      </w:r>
      <w:r>
        <w:rPr>
          <w:rFonts w:eastAsia="Times New Roman"/>
          <w:sz w:val="20"/>
          <w:szCs w:val="20"/>
          <w:lang w:eastAsia="en-GB"/>
        </w:rPr>
        <w:t xml:space="preserve"> </w:t>
      </w:r>
      <w:r w:rsidR="00024CCF">
        <w:rPr>
          <w:rFonts w:eastAsia="Times New Roman"/>
          <w:sz w:val="20"/>
          <w:szCs w:val="20"/>
          <w:lang w:eastAsia="en-GB"/>
        </w:rPr>
        <w:t>T</w:t>
      </w:r>
      <w:r>
        <w:rPr>
          <w:rFonts w:eastAsia="Times New Roman"/>
          <w:sz w:val="20"/>
          <w:szCs w:val="20"/>
          <w:lang w:eastAsia="en-GB"/>
        </w:rPr>
        <w:t xml:space="preserve">he results reveal that the inclusion of </w:t>
      </w:r>
      <w:r w:rsidR="00EF7B76">
        <w:rPr>
          <w:rFonts w:eastAsia="Times New Roman"/>
          <w:sz w:val="20"/>
          <w:szCs w:val="20"/>
          <w:lang w:eastAsia="en-GB"/>
        </w:rPr>
        <w:t xml:space="preserve">PPV </w:t>
      </w:r>
      <w:r>
        <w:rPr>
          <w:rFonts w:eastAsia="Times New Roman"/>
          <w:sz w:val="20"/>
          <w:szCs w:val="20"/>
          <w:lang w:eastAsia="en-GB"/>
        </w:rPr>
        <w:t>has substantial bearing not only on the magnitude</w:t>
      </w:r>
      <w:r w:rsidR="00BD4080">
        <w:rPr>
          <w:rFonts w:eastAsia="Times New Roman"/>
          <w:sz w:val="20"/>
          <w:szCs w:val="20"/>
          <w:lang w:eastAsia="en-GB"/>
        </w:rPr>
        <w:t>,</w:t>
      </w:r>
      <w:r>
        <w:rPr>
          <w:rFonts w:eastAsia="Times New Roman"/>
          <w:sz w:val="20"/>
          <w:szCs w:val="20"/>
          <w:lang w:eastAsia="en-GB"/>
        </w:rPr>
        <w:t xml:space="preserve"> but </w:t>
      </w:r>
      <w:r w:rsidR="00024CCF">
        <w:rPr>
          <w:rFonts w:eastAsia="Times New Roman"/>
          <w:sz w:val="20"/>
          <w:szCs w:val="20"/>
          <w:lang w:eastAsia="en-GB"/>
        </w:rPr>
        <w:t xml:space="preserve">also </w:t>
      </w:r>
      <w:r>
        <w:rPr>
          <w:rFonts w:eastAsia="Times New Roman"/>
          <w:sz w:val="20"/>
          <w:szCs w:val="20"/>
          <w:lang w:eastAsia="en-GB"/>
        </w:rPr>
        <w:t xml:space="preserve">the direction of health impact. Without PPV large increases occur in exposures to pollutants derived from indoor sources (Table 6), which more than offset the benefits of improved </w:t>
      </w:r>
      <w:r w:rsidR="006B16B3">
        <w:rPr>
          <w:rFonts w:eastAsia="Times New Roman"/>
          <w:sz w:val="20"/>
          <w:szCs w:val="20"/>
          <w:lang w:eastAsia="en-GB"/>
        </w:rPr>
        <w:t xml:space="preserve">indoor heating season </w:t>
      </w:r>
      <w:r>
        <w:rPr>
          <w:rFonts w:eastAsia="Times New Roman"/>
          <w:sz w:val="20"/>
          <w:szCs w:val="20"/>
          <w:lang w:eastAsia="en-GB"/>
        </w:rPr>
        <w:t xml:space="preserve">temperatures and protection against outdoor air pollution, resulting in substantial negative consequences for health overall in both settings.  </w:t>
      </w:r>
    </w:p>
    <w:p w14:paraId="3214F1F1" w14:textId="58975D28" w:rsidR="00AD1B50" w:rsidRPr="003D4317" w:rsidRDefault="00CF04E2" w:rsidP="005472AA">
      <w:pPr>
        <w:spacing w:after="240" w:line="480" w:lineRule="auto"/>
        <w:divId w:val="434059591"/>
        <w:rPr>
          <w:color w:val="000000"/>
          <w:sz w:val="20"/>
        </w:rPr>
      </w:pPr>
      <w:r w:rsidRPr="00DD65BC">
        <w:rPr>
          <w:b/>
          <w:sz w:val="20"/>
        </w:rPr>
        <w:t>Table 7</w:t>
      </w:r>
    </w:p>
    <w:p w14:paraId="7939D97A" w14:textId="150146D6" w:rsidR="005472AA" w:rsidRPr="00B307B7" w:rsidRDefault="002E1BDA" w:rsidP="001E3C1A">
      <w:pPr>
        <w:numPr>
          <w:ilvl w:val="0"/>
          <w:numId w:val="22"/>
        </w:numPr>
        <w:spacing w:after="0" w:line="480" w:lineRule="auto"/>
        <w:ind w:left="425" w:hanging="357"/>
        <w:divId w:val="434059591"/>
        <w:rPr>
          <w:b/>
          <w:color w:val="000000"/>
          <w:sz w:val="20"/>
        </w:rPr>
      </w:pPr>
      <w:r w:rsidRPr="005977CC">
        <w:rPr>
          <w:b/>
          <w:color w:val="000000"/>
          <w:sz w:val="20"/>
        </w:rPr>
        <w:t>Discussion</w:t>
      </w:r>
    </w:p>
    <w:p w14:paraId="74B89933" w14:textId="6DD2FA1C" w:rsidR="00AD1B50" w:rsidRPr="005472AA" w:rsidRDefault="00AD1B50" w:rsidP="005472AA">
      <w:pPr>
        <w:numPr>
          <w:ilvl w:val="0"/>
          <w:numId w:val="26"/>
        </w:numPr>
        <w:spacing w:line="480" w:lineRule="auto"/>
        <w:contextualSpacing/>
        <w:divId w:val="434059591"/>
        <w:rPr>
          <w:color w:val="000000"/>
          <w:sz w:val="20"/>
        </w:rPr>
      </w:pPr>
      <w:r w:rsidRPr="005977CC">
        <w:rPr>
          <w:color w:val="000000"/>
          <w:sz w:val="20"/>
        </w:rPr>
        <w:t xml:space="preserve">There are </w:t>
      </w:r>
      <w:r>
        <w:rPr>
          <w:color w:val="000000"/>
          <w:sz w:val="20"/>
        </w:rPr>
        <w:t>substantial</w:t>
      </w:r>
      <w:r w:rsidRPr="005977CC">
        <w:rPr>
          <w:color w:val="000000"/>
          <w:sz w:val="20"/>
        </w:rPr>
        <w:t xml:space="preserve"> differences in results for the two locations when housing interventions are the </w:t>
      </w:r>
      <w:r>
        <w:rPr>
          <w:color w:val="000000"/>
          <w:sz w:val="20"/>
        </w:rPr>
        <w:t>sole</w:t>
      </w:r>
      <w:r w:rsidRPr="005977CC">
        <w:rPr>
          <w:color w:val="000000"/>
          <w:sz w:val="20"/>
        </w:rPr>
        <w:t xml:space="preserve"> mechanism for decarboni</w:t>
      </w:r>
      <w:r w:rsidR="006901F8">
        <w:rPr>
          <w:color w:val="000000"/>
          <w:sz w:val="20"/>
        </w:rPr>
        <w:t>z</w:t>
      </w:r>
      <w:r w:rsidRPr="005977CC">
        <w:rPr>
          <w:color w:val="000000"/>
          <w:sz w:val="20"/>
        </w:rPr>
        <w:t xml:space="preserve">ation, without additional </w:t>
      </w:r>
      <w:r w:rsidR="00E5130E">
        <w:rPr>
          <w:color w:val="000000"/>
          <w:sz w:val="20"/>
        </w:rPr>
        <w:t xml:space="preserve">substantial </w:t>
      </w:r>
      <w:r w:rsidRPr="005977CC">
        <w:rPr>
          <w:color w:val="000000"/>
          <w:sz w:val="20"/>
        </w:rPr>
        <w:t>grid decarboni</w:t>
      </w:r>
      <w:r w:rsidR="006901F8">
        <w:rPr>
          <w:color w:val="000000"/>
          <w:sz w:val="20"/>
        </w:rPr>
        <w:t>z</w:t>
      </w:r>
      <w:r w:rsidRPr="005977CC">
        <w:rPr>
          <w:color w:val="000000"/>
          <w:sz w:val="20"/>
        </w:rPr>
        <w:t>ation. London housing can achieve greater reductions in CO</w:t>
      </w:r>
      <w:r w:rsidRPr="005977CC">
        <w:rPr>
          <w:color w:val="000000"/>
          <w:sz w:val="20"/>
          <w:vertAlign w:val="subscript"/>
        </w:rPr>
        <w:t>2</w:t>
      </w:r>
      <w:r w:rsidRPr="005977CC">
        <w:rPr>
          <w:color w:val="000000"/>
          <w:sz w:val="20"/>
        </w:rPr>
        <w:t xml:space="preserve"> emissions (and possible </w:t>
      </w:r>
      <w:r w:rsidR="006901F8">
        <w:rPr>
          <w:color w:val="000000"/>
          <w:sz w:val="20"/>
        </w:rPr>
        <w:t xml:space="preserve">average </w:t>
      </w:r>
      <w:r w:rsidRPr="005977CC">
        <w:rPr>
          <w:color w:val="000000"/>
          <w:sz w:val="20"/>
        </w:rPr>
        <w:t xml:space="preserve">health </w:t>
      </w:r>
      <w:r w:rsidR="006901F8">
        <w:rPr>
          <w:color w:val="000000"/>
          <w:sz w:val="20"/>
        </w:rPr>
        <w:t xml:space="preserve">net </w:t>
      </w:r>
      <w:r w:rsidRPr="005977CC">
        <w:rPr>
          <w:color w:val="000000"/>
          <w:sz w:val="20"/>
        </w:rPr>
        <w:t>benefits) than th</w:t>
      </w:r>
      <w:r w:rsidR="006901F8">
        <w:rPr>
          <w:color w:val="000000"/>
          <w:sz w:val="20"/>
        </w:rPr>
        <w:t xml:space="preserve">at of </w:t>
      </w:r>
      <w:r w:rsidRPr="005977CC">
        <w:rPr>
          <w:color w:val="000000"/>
          <w:sz w:val="20"/>
        </w:rPr>
        <w:t xml:space="preserve">Milton Keynes. This is as a result of various factors; the Milton Keynes housing stock is more </w:t>
      </w:r>
      <w:r w:rsidR="007923A5" w:rsidRPr="005977CC">
        <w:rPr>
          <w:color w:val="000000"/>
          <w:sz w:val="20"/>
        </w:rPr>
        <w:t>recent</w:t>
      </w:r>
      <w:r w:rsidR="007923A5">
        <w:rPr>
          <w:color w:val="000000"/>
          <w:sz w:val="20"/>
        </w:rPr>
        <w:t>,</w:t>
      </w:r>
      <w:r w:rsidR="007923A5" w:rsidRPr="005977CC">
        <w:rPr>
          <w:color w:val="000000"/>
          <w:sz w:val="20"/>
        </w:rPr>
        <w:t xml:space="preserve"> built</w:t>
      </w:r>
      <w:r w:rsidRPr="005977CC">
        <w:rPr>
          <w:color w:val="000000"/>
          <w:sz w:val="20"/>
        </w:rPr>
        <w:t xml:space="preserve"> to a higher energy efficiency standard</w:t>
      </w:r>
      <w:r w:rsidR="0061712A">
        <w:rPr>
          <w:color w:val="000000"/>
          <w:sz w:val="20"/>
        </w:rPr>
        <w:t>.</w:t>
      </w:r>
      <w:r>
        <w:rPr>
          <w:color w:val="000000"/>
          <w:sz w:val="20"/>
        </w:rPr>
        <w:t xml:space="preserve"> </w:t>
      </w:r>
      <w:r w:rsidR="00EE27A5">
        <w:rPr>
          <w:color w:val="000000"/>
          <w:sz w:val="20"/>
        </w:rPr>
        <w:t xml:space="preserve"> T</w:t>
      </w:r>
      <w:r w:rsidR="0061712A">
        <w:rPr>
          <w:color w:val="000000"/>
          <w:sz w:val="20"/>
        </w:rPr>
        <w:t xml:space="preserve">ype and distribution of housing </w:t>
      </w:r>
      <w:r w:rsidR="006901F8">
        <w:rPr>
          <w:color w:val="000000"/>
          <w:sz w:val="20"/>
        </w:rPr>
        <w:t xml:space="preserve"> differs appreciably</w:t>
      </w:r>
      <w:r>
        <w:rPr>
          <w:color w:val="000000"/>
          <w:sz w:val="20"/>
        </w:rPr>
        <w:t xml:space="preserve"> </w:t>
      </w:r>
      <w:r w:rsidRPr="005977CC">
        <w:rPr>
          <w:color w:val="000000"/>
          <w:sz w:val="20"/>
        </w:rPr>
        <w:t>with over 50% of London’s stock being purpose built flats</w:t>
      </w:r>
      <w:r>
        <w:rPr>
          <w:color w:val="000000"/>
          <w:sz w:val="20"/>
        </w:rPr>
        <w:t xml:space="preserve"> (requiring </w:t>
      </w:r>
      <w:r w:rsidR="001B2A24">
        <w:rPr>
          <w:color w:val="000000"/>
          <w:sz w:val="20"/>
        </w:rPr>
        <w:t>simpler</w:t>
      </w:r>
      <w:r>
        <w:rPr>
          <w:color w:val="000000"/>
          <w:sz w:val="20"/>
        </w:rPr>
        <w:t xml:space="preserve"> measures to obtain gains)</w:t>
      </w:r>
      <w:r w:rsidRPr="005977CC">
        <w:rPr>
          <w:color w:val="000000"/>
          <w:sz w:val="20"/>
        </w:rPr>
        <w:t>, while Milton Keynes stock comprise</w:t>
      </w:r>
      <w:r w:rsidR="006901F8">
        <w:rPr>
          <w:color w:val="000000"/>
          <w:sz w:val="20"/>
        </w:rPr>
        <w:t>s</w:t>
      </w:r>
      <w:r w:rsidRPr="005977CC">
        <w:rPr>
          <w:color w:val="000000"/>
          <w:sz w:val="20"/>
        </w:rPr>
        <w:t xml:space="preserve"> </w:t>
      </w:r>
      <w:r w:rsidR="001B2A24" w:rsidRPr="005977CC">
        <w:rPr>
          <w:color w:val="000000"/>
          <w:sz w:val="20"/>
        </w:rPr>
        <w:t>80</w:t>
      </w:r>
      <w:r w:rsidRPr="005977CC">
        <w:rPr>
          <w:color w:val="000000"/>
          <w:sz w:val="20"/>
        </w:rPr>
        <w:t xml:space="preserve">% detached, semi-detached and terraced dwellings </w:t>
      </w:r>
      <w:r w:rsidR="000300B5">
        <w:rPr>
          <w:color w:val="000000"/>
          <w:sz w:val="20"/>
        </w:rPr>
        <w:t>with general</w:t>
      </w:r>
      <w:r w:rsidR="0061712A">
        <w:rPr>
          <w:color w:val="000000"/>
          <w:sz w:val="20"/>
        </w:rPr>
        <w:t>ly</w:t>
      </w:r>
      <w:r w:rsidR="000300B5">
        <w:rPr>
          <w:color w:val="000000"/>
          <w:sz w:val="20"/>
        </w:rPr>
        <w:t xml:space="preserve"> larger building volumes</w:t>
      </w:r>
      <w:r w:rsidR="0061712A">
        <w:rPr>
          <w:color w:val="000000"/>
          <w:sz w:val="20"/>
        </w:rPr>
        <w:t xml:space="preserve"> that result</w:t>
      </w:r>
      <w:r w:rsidR="009101FE">
        <w:rPr>
          <w:color w:val="000000"/>
          <w:sz w:val="20"/>
        </w:rPr>
        <w:t xml:space="preserve"> in smaller concentrations of pollutants per unit volume</w:t>
      </w:r>
      <w:r w:rsidR="000300B5">
        <w:rPr>
          <w:color w:val="000000"/>
          <w:sz w:val="20"/>
        </w:rPr>
        <w:t xml:space="preserve"> </w:t>
      </w:r>
      <w:r w:rsidRPr="005977CC">
        <w:rPr>
          <w:color w:val="000000"/>
          <w:sz w:val="20"/>
        </w:rPr>
        <w:t>(MKiO, 2014). To achieve similar reductions in CO</w:t>
      </w:r>
      <w:r w:rsidRPr="005977CC">
        <w:rPr>
          <w:color w:val="000000"/>
          <w:sz w:val="20"/>
          <w:vertAlign w:val="subscript"/>
        </w:rPr>
        <w:t>2</w:t>
      </w:r>
      <w:r w:rsidRPr="005977CC">
        <w:rPr>
          <w:color w:val="000000"/>
          <w:sz w:val="20"/>
        </w:rPr>
        <w:t xml:space="preserve"> emissions in Milton Keynes would require a greater investment in more technical housing interventions such as mechanical ventilated heat recovery (MVHR) systems. The appropriateness of such interventions would of course require a detailed cost-benefit analysis. However, based on our study</w:t>
      </w:r>
      <w:r w:rsidR="005472AA">
        <w:rPr>
          <w:color w:val="000000"/>
          <w:sz w:val="20"/>
        </w:rPr>
        <w:t>,</w:t>
      </w:r>
      <w:r w:rsidRPr="005977CC">
        <w:rPr>
          <w:color w:val="000000"/>
          <w:sz w:val="20"/>
        </w:rPr>
        <w:t xml:space="preserve"> </w:t>
      </w:r>
      <w:r w:rsidR="005472AA">
        <w:rPr>
          <w:color w:val="000000"/>
          <w:sz w:val="20"/>
        </w:rPr>
        <w:t xml:space="preserve">it would appear </w:t>
      </w:r>
      <w:r w:rsidRPr="005977CC">
        <w:rPr>
          <w:color w:val="000000"/>
          <w:sz w:val="20"/>
        </w:rPr>
        <w:t>that potential CO</w:t>
      </w:r>
      <w:r w:rsidRPr="005977CC">
        <w:rPr>
          <w:color w:val="000000"/>
          <w:sz w:val="20"/>
          <w:vertAlign w:val="subscript"/>
        </w:rPr>
        <w:t>2</w:t>
      </w:r>
      <w:r w:rsidRPr="005977CC">
        <w:rPr>
          <w:color w:val="000000"/>
          <w:sz w:val="20"/>
        </w:rPr>
        <w:t xml:space="preserve"> reductions and health impacts (whether positive or negative) are </w:t>
      </w:r>
      <w:r>
        <w:rPr>
          <w:color w:val="000000"/>
          <w:sz w:val="20"/>
        </w:rPr>
        <w:t>stock</w:t>
      </w:r>
      <w:r w:rsidR="006901F8">
        <w:rPr>
          <w:color w:val="000000"/>
          <w:sz w:val="20"/>
        </w:rPr>
        <w:t>-</w:t>
      </w:r>
      <w:r w:rsidRPr="005977CC">
        <w:rPr>
          <w:color w:val="000000"/>
          <w:sz w:val="20"/>
        </w:rPr>
        <w:lastRenderedPageBreak/>
        <w:t xml:space="preserve">specific and policies should </w:t>
      </w:r>
      <w:r>
        <w:rPr>
          <w:color w:val="000000"/>
          <w:sz w:val="20"/>
        </w:rPr>
        <w:t xml:space="preserve">be tailored to </w:t>
      </w:r>
      <w:r w:rsidRPr="005977CC">
        <w:rPr>
          <w:color w:val="000000"/>
          <w:sz w:val="20"/>
        </w:rPr>
        <w:t>take this into account rather than be universally rolled out, with both regional and local strategies focusing on the most appropriate sectors in order to achieve CO</w:t>
      </w:r>
      <w:r w:rsidRPr="005977CC">
        <w:rPr>
          <w:color w:val="000000"/>
          <w:sz w:val="20"/>
          <w:vertAlign w:val="subscript"/>
        </w:rPr>
        <w:t>2</w:t>
      </w:r>
      <w:r w:rsidRPr="005977CC">
        <w:rPr>
          <w:color w:val="000000"/>
          <w:sz w:val="20"/>
        </w:rPr>
        <w:t xml:space="preserve"> emissions reduction targets. </w:t>
      </w:r>
    </w:p>
    <w:p w14:paraId="4E2F2FB6" w14:textId="62FF3225" w:rsidR="00AD1B50" w:rsidRPr="005472AA" w:rsidRDefault="00AD1B50" w:rsidP="003D4317">
      <w:pPr>
        <w:pStyle w:val="ListParagraph"/>
        <w:numPr>
          <w:ilvl w:val="0"/>
          <w:numId w:val="26"/>
        </w:numPr>
        <w:spacing w:line="480" w:lineRule="auto"/>
        <w:divId w:val="434059591"/>
        <w:rPr>
          <w:color w:val="000000"/>
          <w:sz w:val="20"/>
        </w:rPr>
      </w:pPr>
      <w:r w:rsidRPr="005472AA">
        <w:rPr>
          <w:color w:val="000000"/>
          <w:sz w:val="20"/>
        </w:rPr>
        <w:t>In both London and Milton Keynes, changes to the indoor environment following combined energy efficiency and PPV interventions (if perfectly implemented) would lead to lower CO</w:t>
      </w:r>
      <w:r w:rsidRPr="005472AA">
        <w:rPr>
          <w:color w:val="000000"/>
          <w:sz w:val="20"/>
          <w:vertAlign w:val="subscript"/>
        </w:rPr>
        <w:t xml:space="preserve">2 </w:t>
      </w:r>
      <w:r w:rsidRPr="005472AA">
        <w:rPr>
          <w:color w:val="000000"/>
          <w:sz w:val="20"/>
        </w:rPr>
        <w:t xml:space="preserve">emissions, reductions in indoor pollutant concentrations, and increases in indoor winter temperatures yielding </w:t>
      </w:r>
      <w:r w:rsidR="00F96FAD">
        <w:rPr>
          <w:color w:val="000000"/>
          <w:sz w:val="20"/>
        </w:rPr>
        <w:t xml:space="preserve">average </w:t>
      </w:r>
      <w:r w:rsidRPr="005472AA">
        <w:rPr>
          <w:color w:val="000000"/>
          <w:sz w:val="20"/>
        </w:rPr>
        <w:t xml:space="preserve">net health benefits. In this respect our results are consistent with those of other published research. (Wilkinson et al., 2009; Crump et al., 2011; Milner et al., 2014). In scenarios where PPV (properly implemented) is used in conjunction with energy efficiency measures, the overall </w:t>
      </w:r>
      <w:r w:rsidRPr="00401320">
        <w:rPr>
          <w:i/>
          <w:color w:val="000000"/>
          <w:sz w:val="20"/>
        </w:rPr>
        <w:t>per</w:t>
      </w:r>
      <w:r w:rsidR="00F96FAD" w:rsidRPr="00401320">
        <w:rPr>
          <w:i/>
          <w:color w:val="000000"/>
          <w:sz w:val="20"/>
        </w:rPr>
        <w:t xml:space="preserve"> </w:t>
      </w:r>
      <w:r w:rsidRPr="00401320">
        <w:rPr>
          <w:i/>
          <w:color w:val="000000"/>
          <w:sz w:val="20"/>
        </w:rPr>
        <w:t>capita</w:t>
      </w:r>
      <w:r w:rsidRPr="005472AA">
        <w:rPr>
          <w:color w:val="000000"/>
          <w:sz w:val="20"/>
        </w:rPr>
        <w:t xml:space="preserve"> health benefits (including all pollutant exposures and temperatures change) are greater in London, with benefits for cardiopulmonary health due to reductions in indoor exposure to both indoor and outdoor-generated PM</w:t>
      </w:r>
      <w:r w:rsidRPr="005472AA">
        <w:rPr>
          <w:color w:val="000000"/>
          <w:sz w:val="20"/>
          <w:vertAlign w:val="subscript"/>
        </w:rPr>
        <w:t>2.5</w:t>
      </w:r>
      <w:r w:rsidRPr="005472AA">
        <w:rPr>
          <w:color w:val="000000"/>
          <w:sz w:val="20"/>
        </w:rPr>
        <w:t>. There would also be substantial reduction in lung cancer burdens due to the reduced PM</w:t>
      </w:r>
      <w:r w:rsidRPr="005472AA">
        <w:rPr>
          <w:color w:val="000000"/>
          <w:sz w:val="20"/>
          <w:vertAlign w:val="subscript"/>
        </w:rPr>
        <w:t xml:space="preserve">2.5 </w:t>
      </w:r>
      <w:r w:rsidRPr="005472AA">
        <w:rPr>
          <w:color w:val="000000"/>
          <w:sz w:val="20"/>
        </w:rPr>
        <w:t>and radon levels</w:t>
      </w:r>
      <w:r w:rsidRPr="005472AA">
        <w:rPr>
          <w:sz w:val="20"/>
        </w:rPr>
        <w:t xml:space="preserve"> with a minimal impact on ventilation heat loss in both locations</w:t>
      </w:r>
      <w:r w:rsidRPr="005472AA">
        <w:rPr>
          <w:color w:val="000000"/>
          <w:sz w:val="20"/>
        </w:rPr>
        <w:t>. Providing PPV has impact on energy use of +</w:t>
      </w:r>
      <w:r w:rsidR="00866F8A">
        <w:rPr>
          <w:color w:val="000000"/>
          <w:sz w:val="20"/>
        </w:rPr>
        <w:t>8.6</w:t>
      </w:r>
      <w:r w:rsidRPr="005472AA">
        <w:rPr>
          <w:color w:val="000000"/>
          <w:sz w:val="20"/>
        </w:rPr>
        <w:t xml:space="preserve">% </w:t>
      </w:r>
      <w:r w:rsidR="00866F8A">
        <w:rPr>
          <w:color w:val="000000"/>
          <w:sz w:val="20"/>
        </w:rPr>
        <w:t xml:space="preserve">on </w:t>
      </w:r>
      <w:r w:rsidRPr="005472AA">
        <w:rPr>
          <w:color w:val="000000"/>
          <w:sz w:val="20"/>
        </w:rPr>
        <w:t xml:space="preserve">average between the different scenarios, whilst potentially yielding substantial health gains. However, a distribution of impacts will occur because of different housing geometries and occupant </w:t>
      </w:r>
      <w:r w:rsidR="00C31A4F" w:rsidRPr="005472AA">
        <w:rPr>
          <w:color w:val="000000"/>
          <w:sz w:val="20"/>
        </w:rPr>
        <w:t>behaviours</w:t>
      </w:r>
      <w:r w:rsidRPr="005472AA">
        <w:rPr>
          <w:color w:val="000000"/>
          <w:sz w:val="20"/>
        </w:rPr>
        <w:t xml:space="preserve"> and for some homes and </w:t>
      </w:r>
      <w:r w:rsidR="00C31A4F" w:rsidRPr="005472AA">
        <w:rPr>
          <w:color w:val="000000"/>
          <w:sz w:val="20"/>
        </w:rPr>
        <w:t>behaviours</w:t>
      </w:r>
      <w:r w:rsidRPr="005472AA">
        <w:rPr>
          <w:color w:val="000000"/>
          <w:sz w:val="20"/>
        </w:rPr>
        <w:t xml:space="preserve"> indoor exposures would increase and there would be health dis-benefits for some people. Approved Document F1 of the building regulations states that following retrofitting ventilation should not become worse (HM Government, 2010), however on-site </w:t>
      </w:r>
      <w:r w:rsidR="005472AA">
        <w:rPr>
          <w:color w:val="000000"/>
          <w:sz w:val="20"/>
        </w:rPr>
        <w:t xml:space="preserve">monitoring </w:t>
      </w:r>
      <w:r w:rsidRPr="005472AA">
        <w:rPr>
          <w:color w:val="000000"/>
          <w:sz w:val="20"/>
        </w:rPr>
        <w:t xml:space="preserve">would </w:t>
      </w:r>
      <w:r w:rsidR="00B324AC" w:rsidRPr="005472AA">
        <w:rPr>
          <w:color w:val="000000"/>
          <w:sz w:val="20"/>
        </w:rPr>
        <w:t>suggested this is not always the case</w:t>
      </w:r>
      <w:r w:rsidRPr="005472AA">
        <w:rPr>
          <w:color w:val="000000"/>
          <w:sz w:val="20"/>
        </w:rPr>
        <w:t xml:space="preserve"> (Sinnott &amp; Dyer, 2012). </w:t>
      </w:r>
    </w:p>
    <w:p w14:paraId="38096812" w14:textId="3944F94F" w:rsidR="00AD1B50" w:rsidRPr="005472AA" w:rsidRDefault="00AD1B50" w:rsidP="003D4317">
      <w:pPr>
        <w:numPr>
          <w:ilvl w:val="0"/>
          <w:numId w:val="26"/>
        </w:numPr>
        <w:spacing w:line="480" w:lineRule="auto"/>
        <w:contextualSpacing/>
        <w:divId w:val="434059591"/>
        <w:rPr>
          <w:bCs/>
          <w:sz w:val="20"/>
        </w:rPr>
      </w:pPr>
      <w:r w:rsidRPr="005977CC">
        <w:rPr>
          <w:color w:val="000000"/>
          <w:sz w:val="20"/>
        </w:rPr>
        <w:t xml:space="preserve">The </w:t>
      </w:r>
      <w:r w:rsidRPr="005977CC">
        <w:rPr>
          <w:bCs/>
          <w:sz w:val="20"/>
        </w:rPr>
        <w:t>UKERC carbon intensity scenarios used here assume the use of electricity as the energy source for space heating in the domestic sector, which is seen as essential under</w:t>
      </w:r>
      <w:r w:rsidRPr="005977CC">
        <w:rPr>
          <w:rFonts w:cs="Caecilia-Roman"/>
          <w:sz w:val="20"/>
        </w:rPr>
        <w:t xml:space="preserve"> Low-Carbon scenarios for the UK energy system in 2050</w:t>
      </w:r>
      <w:r w:rsidRPr="005977CC">
        <w:rPr>
          <w:bCs/>
          <w:sz w:val="20"/>
        </w:rPr>
        <w:t xml:space="preserve"> because it can be generated from a range of renewable and low-carbon energy sources including nuclear and the use of carbon-capture technologies (UKERC, 2013).</w:t>
      </w:r>
      <w:r w:rsidRPr="003D4317">
        <w:t xml:space="preserve"> </w:t>
      </w:r>
      <w:r w:rsidRPr="005977CC">
        <w:rPr>
          <w:bCs/>
          <w:sz w:val="20"/>
        </w:rPr>
        <w:t>By combining housing interventions with decarboni</w:t>
      </w:r>
      <w:r w:rsidR="00F96FAD">
        <w:rPr>
          <w:bCs/>
          <w:sz w:val="20"/>
        </w:rPr>
        <w:t>z</w:t>
      </w:r>
      <w:r w:rsidRPr="005977CC">
        <w:rPr>
          <w:bCs/>
          <w:sz w:val="20"/>
        </w:rPr>
        <w:t xml:space="preserve">ation of the electric grid a substantial contribution to climate goals can be achieved, with targets exceeded in the UKERC Low-Carbon scenario in both locations. However, in both </w:t>
      </w:r>
      <w:r w:rsidRPr="005977CC">
        <w:rPr>
          <w:bCs/>
          <w:color w:val="000000"/>
          <w:sz w:val="20"/>
        </w:rPr>
        <w:t xml:space="preserve">London and Milton Keynes domestic customer fuel consumption is currently 76% gas (DECC, 2014). It is likely that both legislative and incentive means will be needed to promote change from gas to an all-electric grid. </w:t>
      </w:r>
      <w:r w:rsidR="001B2A24">
        <w:rPr>
          <w:rFonts w:eastAsia="HGｺﾞｼｯｸE"/>
          <w:bCs/>
          <w:color w:val="000000"/>
          <w:sz w:val="20"/>
        </w:rPr>
        <w:t>If</w:t>
      </w:r>
      <w:r w:rsidR="001B2A24" w:rsidRPr="005977CC">
        <w:rPr>
          <w:bCs/>
          <w:color w:val="000000"/>
          <w:sz w:val="20"/>
        </w:rPr>
        <w:t xml:space="preserve"> such</w:t>
      </w:r>
      <w:r w:rsidRPr="005977CC">
        <w:rPr>
          <w:bCs/>
          <w:color w:val="000000"/>
          <w:sz w:val="20"/>
        </w:rPr>
        <w:t xml:space="preserve"> a change is delayed</w:t>
      </w:r>
      <w:r>
        <w:rPr>
          <w:rFonts w:eastAsia="HGｺﾞｼｯｸE"/>
          <w:bCs/>
          <w:color w:val="000000"/>
          <w:sz w:val="20"/>
        </w:rPr>
        <w:t xml:space="preserve"> or does not occur</w:t>
      </w:r>
      <w:r w:rsidRPr="005977CC">
        <w:rPr>
          <w:bCs/>
          <w:color w:val="000000"/>
          <w:sz w:val="20"/>
        </w:rPr>
        <w:t xml:space="preserve"> the predicted reductions in CO</w:t>
      </w:r>
      <w:r w:rsidRPr="005977CC">
        <w:rPr>
          <w:bCs/>
          <w:color w:val="000000"/>
          <w:sz w:val="20"/>
          <w:vertAlign w:val="subscript"/>
        </w:rPr>
        <w:t>2</w:t>
      </w:r>
      <w:r w:rsidRPr="005977CC">
        <w:rPr>
          <w:bCs/>
          <w:color w:val="000000"/>
          <w:sz w:val="20"/>
        </w:rPr>
        <w:t xml:space="preserve"> emissions </w:t>
      </w:r>
      <w:r w:rsidRPr="005977CC">
        <w:rPr>
          <w:bCs/>
          <w:color w:val="000000"/>
          <w:sz w:val="20"/>
        </w:rPr>
        <w:lastRenderedPageBreak/>
        <w:t>seen in this study will not be achieved</w:t>
      </w:r>
      <w:r>
        <w:rPr>
          <w:rFonts w:eastAsia="HGｺﾞｼｯｸE"/>
          <w:bCs/>
          <w:color w:val="000000"/>
          <w:sz w:val="20"/>
        </w:rPr>
        <w:t>.</w:t>
      </w:r>
      <w:r w:rsidRPr="005977CC">
        <w:rPr>
          <w:bCs/>
          <w:color w:val="000000"/>
          <w:sz w:val="20"/>
        </w:rPr>
        <w:t xml:space="preserve"> </w:t>
      </w:r>
      <w:r w:rsidRPr="005977CC">
        <w:rPr>
          <w:bCs/>
          <w:sz w:val="20"/>
        </w:rPr>
        <w:t>A</w:t>
      </w:r>
      <w:r w:rsidR="00B324AC">
        <w:rPr>
          <w:bCs/>
          <w:sz w:val="20"/>
        </w:rPr>
        <w:t>n energy efficient</w:t>
      </w:r>
      <w:r w:rsidRPr="005977CC">
        <w:rPr>
          <w:bCs/>
          <w:sz w:val="20"/>
        </w:rPr>
        <w:t xml:space="preserve"> housing stock with (largely </w:t>
      </w:r>
      <w:r w:rsidR="004878E6" w:rsidRPr="005977CC">
        <w:rPr>
          <w:bCs/>
          <w:sz w:val="20"/>
        </w:rPr>
        <w:t>decarbonized</w:t>
      </w:r>
      <w:r w:rsidRPr="005977CC">
        <w:rPr>
          <w:bCs/>
          <w:sz w:val="20"/>
        </w:rPr>
        <w:t xml:space="preserve">) electricity as its </w:t>
      </w:r>
      <w:r w:rsidR="001B2A24" w:rsidRPr="005977CC">
        <w:rPr>
          <w:bCs/>
          <w:sz w:val="20"/>
        </w:rPr>
        <w:t>fuel represents</w:t>
      </w:r>
      <w:r w:rsidRPr="005977CC">
        <w:rPr>
          <w:bCs/>
          <w:sz w:val="20"/>
        </w:rPr>
        <w:t xml:space="preserve"> the upper limit of possible CO</w:t>
      </w:r>
      <w:r w:rsidRPr="005977CC">
        <w:rPr>
          <w:bCs/>
          <w:sz w:val="20"/>
          <w:vertAlign w:val="subscript"/>
        </w:rPr>
        <w:t>2</w:t>
      </w:r>
      <w:r w:rsidRPr="005977CC">
        <w:rPr>
          <w:bCs/>
          <w:sz w:val="20"/>
        </w:rPr>
        <w:t xml:space="preserve"> savings.</w:t>
      </w:r>
    </w:p>
    <w:p w14:paraId="7C4E2D5E" w14:textId="2381FCD2" w:rsidR="00AD1B50" w:rsidRPr="00AD1B50" w:rsidRDefault="00AD1B50" w:rsidP="00A36F73">
      <w:pPr>
        <w:pStyle w:val="ListParagraph"/>
        <w:numPr>
          <w:ilvl w:val="0"/>
          <w:numId w:val="26"/>
        </w:numPr>
        <w:spacing w:line="480" w:lineRule="auto"/>
        <w:divId w:val="434059591"/>
        <w:rPr>
          <w:rFonts w:eastAsia="HGｺﾞｼｯｸE"/>
          <w:bCs/>
          <w:sz w:val="20"/>
        </w:rPr>
      </w:pPr>
      <w:r w:rsidRPr="00AD1B50">
        <w:rPr>
          <w:bCs/>
          <w:sz w:val="20"/>
        </w:rPr>
        <w:t>Modelling analyses such as this</w:t>
      </w:r>
      <w:r w:rsidR="005472AA">
        <w:rPr>
          <w:bCs/>
          <w:sz w:val="20"/>
        </w:rPr>
        <w:t xml:space="preserve"> study</w:t>
      </w:r>
      <w:r w:rsidRPr="00AD1B50">
        <w:rPr>
          <w:bCs/>
          <w:sz w:val="20"/>
        </w:rPr>
        <w:t xml:space="preserve"> rely on multiple assumptions and </w:t>
      </w:r>
      <w:r w:rsidR="00A36F73">
        <w:rPr>
          <w:bCs/>
          <w:sz w:val="20"/>
        </w:rPr>
        <w:t xml:space="preserve">many </w:t>
      </w:r>
      <w:r w:rsidR="00A36F73" w:rsidRPr="00A36F73">
        <w:rPr>
          <w:bCs/>
          <w:sz w:val="20"/>
        </w:rPr>
        <w:t xml:space="preserve">uncertainties. Its results should therefore be interpreted only as indicative and relative rather than as precise calculations of impact. </w:t>
      </w:r>
      <w:r w:rsidR="009A33CC" w:rsidRPr="009A33CC">
        <w:rPr>
          <w:rFonts w:eastAsia="HGｺﾞｼｯｸE"/>
          <w:bCs/>
          <w:sz w:val="20"/>
        </w:rPr>
        <w:t xml:space="preserve"> </w:t>
      </w:r>
      <w:r w:rsidR="009A33CC">
        <w:rPr>
          <w:bCs/>
          <w:sz w:val="20"/>
        </w:rPr>
        <w:t xml:space="preserve">We </w:t>
      </w:r>
      <w:r w:rsidR="00A36F73" w:rsidRPr="00A36F73">
        <w:rPr>
          <w:bCs/>
          <w:sz w:val="20"/>
        </w:rPr>
        <w:t>have provided an</w:t>
      </w:r>
      <w:r w:rsidR="009A33CC">
        <w:rPr>
          <w:bCs/>
          <w:sz w:val="20"/>
        </w:rPr>
        <w:t xml:space="preserve"> section (6) on ‘u</w:t>
      </w:r>
      <w:r w:rsidR="00A36F73" w:rsidRPr="00A36F73">
        <w:rPr>
          <w:bCs/>
          <w:sz w:val="20"/>
        </w:rPr>
        <w:t>ncertainty in the SCRIBE modelling’ in the supplementary data accompanying this publication.</w:t>
      </w:r>
      <w:r w:rsidR="00AB602D" w:rsidRPr="00AB602D">
        <w:rPr>
          <w:rFonts w:eastAsia="HGｺﾞｼｯｸE"/>
          <w:bCs/>
          <w:sz w:val="20"/>
        </w:rPr>
        <w:t xml:space="preserve"> </w:t>
      </w:r>
      <w:r w:rsidR="00AB602D" w:rsidRPr="00AD1B50">
        <w:rPr>
          <w:rFonts w:eastAsia="HGｺﾞｼｯｸE"/>
          <w:bCs/>
          <w:sz w:val="20"/>
        </w:rPr>
        <w:t xml:space="preserve">uncertainties in the models have </w:t>
      </w:r>
      <w:r w:rsidR="00AB602D">
        <w:rPr>
          <w:rFonts w:eastAsia="HGｺﾞｼｯｸE"/>
          <w:bCs/>
          <w:sz w:val="20"/>
        </w:rPr>
        <w:t xml:space="preserve">also </w:t>
      </w:r>
      <w:r w:rsidR="00AB602D" w:rsidRPr="00AD1B50">
        <w:rPr>
          <w:rFonts w:eastAsia="HGｺﾞｼｯｸE"/>
          <w:bCs/>
          <w:sz w:val="20"/>
        </w:rPr>
        <w:t>been explored in previous papers by the authors (e.g. Shrubsole et al., 2012; Hamilton et al., 2015)</w:t>
      </w:r>
      <w:r w:rsidR="00AB602D">
        <w:rPr>
          <w:rFonts w:eastAsia="HGｺﾞｼｯｸE"/>
          <w:bCs/>
          <w:sz w:val="20"/>
        </w:rPr>
        <w:t>.</w:t>
      </w:r>
      <w:r w:rsidR="00F96FAD">
        <w:rPr>
          <w:rFonts w:eastAsia="HGｺﾞｼｯｸE"/>
          <w:bCs/>
          <w:sz w:val="20"/>
        </w:rPr>
        <w:t xml:space="preserve"> </w:t>
      </w:r>
      <w:r w:rsidR="009A33CC">
        <w:rPr>
          <w:bCs/>
          <w:sz w:val="20"/>
        </w:rPr>
        <w:t>T</w:t>
      </w:r>
      <w:r w:rsidRPr="001B2A24">
        <w:rPr>
          <w:bCs/>
          <w:sz w:val="20"/>
        </w:rPr>
        <w:t xml:space="preserve">here is </w:t>
      </w:r>
      <w:r w:rsidR="005472AA">
        <w:rPr>
          <w:rFonts w:eastAsia="HGｺﾞｼｯｸE"/>
          <w:bCs/>
          <w:sz w:val="20"/>
        </w:rPr>
        <w:t>currently</w:t>
      </w:r>
      <w:r w:rsidR="005472AA" w:rsidRPr="003D4317">
        <w:rPr>
          <w:sz w:val="20"/>
        </w:rPr>
        <w:t xml:space="preserve"> </w:t>
      </w:r>
      <w:r w:rsidRPr="003D4317">
        <w:rPr>
          <w:sz w:val="20"/>
        </w:rPr>
        <w:t xml:space="preserve">limited observed data on the impacts of retrofitting strategies on indoor air quality and health to compare against model outputs. </w:t>
      </w:r>
      <w:r w:rsidRPr="001B2A24">
        <w:rPr>
          <w:bCs/>
          <w:sz w:val="20"/>
        </w:rPr>
        <w:t xml:space="preserve">Nonetheless, despite these uncertainties, the results provide important indications of </w:t>
      </w:r>
      <w:r w:rsidR="00F96FAD">
        <w:rPr>
          <w:bCs/>
          <w:sz w:val="20"/>
        </w:rPr>
        <w:t xml:space="preserve">likely </w:t>
      </w:r>
      <w:r w:rsidRPr="001B2A24">
        <w:rPr>
          <w:rFonts w:eastAsia="HGｺﾞｼｯｸE"/>
          <w:bCs/>
          <w:sz w:val="20"/>
        </w:rPr>
        <w:t>impacts</w:t>
      </w:r>
      <w:r w:rsidR="00F96FAD">
        <w:rPr>
          <w:rFonts w:eastAsia="HGｺﾞｼｯｸE"/>
          <w:bCs/>
          <w:sz w:val="20"/>
        </w:rPr>
        <w:t xml:space="preserve"> that can be used to inform policy decisions</w:t>
      </w:r>
      <w:r w:rsidRPr="00AD1B50">
        <w:rPr>
          <w:rFonts w:eastAsia="HGｺﾞｼｯｸE"/>
          <w:bCs/>
          <w:sz w:val="20"/>
        </w:rPr>
        <w:t>.</w:t>
      </w:r>
    </w:p>
    <w:p w14:paraId="7F3BF045" w14:textId="5E2F7412" w:rsidR="00AD1B50" w:rsidRPr="005977CC" w:rsidRDefault="00AD1B50" w:rsidP="00AD1B50">
      <w:pPr>
        <w:spacing w:line="480" w:lineRule="auto"/>
        <w:contextualSpacing/>
        <w:divId w:val="434059591"/>
        <w:rPr>
          <w:b/>
          <w:color w:val="000000"/>
          <w:sz w:val="20"/>
        </w:rPr>
      </w:pPr>
      <w:r w:rsidRPr="00AD1B50">
        <w:rPr>
          <w:rFonts w:eastAsia="HGｺﾞｼｯｸE"/>
          <w:bCs/>
          <w:sz w:val="20"/>
        </w:rPr>
        <w:t xml:space="preserve"> </w:t>
      </w:r>
    </w:p>
    <w:p w14:paraId="397D7895" w14:textId="77777777" w:rsidR="00AD1B50" w:rsidRPr="003D4317" w:rsidRDefault="00AD1B50" w:rsidP="003D4317">
      <w:pPr>
        <w:numPr>
          <w:ilvl w:val="0"/>
          <w:numId w:val="22"/>
        </w:numPr>
        <w:spacing w:line="480" w:lineRule="auto"/>
        <w:contextualSpacing/>
        <w:divId w:val="434059591"/>
        <w:rPr>
          <w:b/>
          <w:color w:val="000000"/>
          <w:sz w:val="20"/>
        </w:rPr>
      </w:pPr>
      <w:r w:rsidRPr="003D4317">
        <w:rPr>
          <w:b/>
          <w:color w:val="000000"/>
          <w:sz w:val="20"/>
        </w:rPr>
        <w:t xml:space="preserve">Conclusions </w:t>
      </w:r>
    </w:p>
    <w:p w14:paraId="1D87CD2A" w14:textId="65DC4F87" w:rsidR="00AD1B50" w:rsidRPr="005977CC" w:rsidRDefault="00AD1B50" w:rsidP="00AD1B50">
      <w:pPr>
        <w:spacing w:line="480" w:lineRule="auto"/>
        <w:contextualSpacing/>
        <w:divId w:val="434059591"/>
        <w:rPr>
          <w:sz w:val="20"/>
        </w:rPr>
      </w:pPr>
      <w:r w:rsidRPr="005977CC">
        <w:rPr>
          <w:sz w:val="20"/>
        </w:rPr>
        <w:t>This study</w:t>
      </w:r>
      <w:r w:rsidRPr="003D4317">
        <w:rPr>
          <w:color w:val="000000"/>
          <w:sz w:val="20"/>
        </w:rPr>
        <w:t xml:space="preserve"> has </w:t>
      </w:r>
      <w:r w:rsidRPr="005977CC">
        <w:rPr>
          <w:bCs/>
          <w:color w:val="000000"/>
          <w:sz w:val="20"/>
        </w:rPr>
        <w:t xml:space="preserve">investigated the comparative impacts of </w:t>
      </w:r>
      <w:r w:rsidR="00F96FAD">
        <w:rPr>
          <w:bCs/>
          <w:color w:val="000000"/>
          <w:sz w:val="20"/>
        </w:rPr>
        <w:t xml:space="preserve">dwelling-related </w:t>
      </w:r>
      <w:r w:rsidRPr="005977CC">
        <w:rPr>
          <w:bCs/>
          <w:color w:val="000000"/>
          <w:sz w:val="20"/>
        </w:rPr>
        <w:t>CO</w:t>
      </w:r>
      <w:r w:rsidRPr="005977CC">
        <w:rPr>
          <w:bCs/>
          <w:color w:val="000000"/>
          <w:sz w:val="20"/>
          <w:vertAlign w:val="subscript"/>
        </w:rPr>
        <w:t xml:space="preserve">2 </w:t>
      </w:r>
      <w:r w:rsidRPr="005977CC">
        <w:rPr>
          <w:bCs/>
          <w:color w:val="000000"/>
          <w:sz w:val="20"/>
        </w:rPr>
        <w:t>reduction strategies in London and Milton Keynes</w:t>
      </w:r>
      <w:r w:rsidR="00F96FAD">
        <w:rPr>
          <w:bCs/>
          <w:color w:val="000000"/>
          <w:sz w:val="20"/>
        </w:rPr>
        <w:t xml:space="preserve"> using </w:t>
      </w:r>
      <w:r w:rsidRPr="005977CC">
        <w:rPr>
          <w:sz w:val="20"/>
        </w:rPr>
        <w:t>integrated housing intervention and energy supply decarboni</w:t>
      </w:r>
      <w:r w:rsidR="00F96FAD">
        <w:rPr>
          <w:sz w:val="20"/>
        </w:rPr>
        <w:t>z</w:t>
      </w:r>
      <w:r w:rsidRPr="005977CC">
        <w:rPr>
          <w:sz w:val="20"/>
        </w:rPr>
        <w:t xml:space="preserve">ation </w:t>
      </w:r>
      <w:r w:rsidR="007A3B71" w:rsidRPr="005977CC">
        <w:rPr>
          <w:sz w:val="20"/>
        </w:rPr>
        <w:t>scenarios to</w:t>
      </w:r>
      <w:r w:rsidRPr="005977CC">
        <w:rPr>
          <w:sz w:val="20"/>
        </w:rPr>
        <w:t xml:space="preserve"> calculate possible end user </w:t>
      </w:r>
      <w:r w:rsidR="00540856">
        <w:rPr>
          <w:sz w:val="20"/>
        </w:rPr>
        <w:t xml:space="preserve">energy </w:t>
      </w:r>
      <w:r w:rsidRPr="005977CC">
        <w:rPr>
          <w:sz w:val="20"/>
        </w:rPr>
        <w:t>demand, pollutant exposures and health impacts. Where CO</w:t>
      </w:r>
      <w:r w:rsidRPr="005977CC">
        <w:rPr>
          <w:sz w:val="20"/>
          <w:vertAlign w:val="subscript"/>
        </w:rPr>
        <w:t>2</w:t>
      </w:r>
      <w:r w:rsidRPr="005977CC">
        <w:rPr>
          <w:sz w:val="20"/>
        </w:rPr>
        <w:t xml:space="preserve"> reduction targets are the main policy driver, substantial reductions can be made in London with energy interventions on housing, whereas for Milton Keynes the </w:t>
      </w:r>
      <w:r w:rsidR="00972437">
        <w:rPr>
          <w:sz w:val="20"/>
        </w:rPr>
        <w:t xml:space="preserve">potential </w:t>
      </w:r>
      <w:r w:rsidRPr="005977CC">
        <w:rPr>
          <w:sz w:val="20"/>
        </w:rPr>
        <w:t xml:space="preserve">percentage gains are much smaller </w:t>
      </w:r>
      <w:r w:rsidR="00540856">
        <w:rPr>
          <w:sz w:val="20"/>
        </w:rPr>
        <w:t>because of</w:t>
      </w:r>
      <w:r w:rsidRPr="005977CC">
        <w:rPr>
          <w:sz w:val="20"/>
        </w:rPr>
        <w:t xml:space="preserve"> the</w:t>
      </w:r>
      <w:r w:rsidRPr="005977CC">
        <w:rPr>
          <w:color w:val="000000"/>
          <w:sz w:val="20"/>
        </w:rPr>
        <w:t xml:space="preserve"> </w:t>
      </w:r>
      <w:r w:rsidR="00540856">
        <w:rPr>
          <w:color w:val="000000"/>
          <w:sz w:val="20"/>
        </w:rPr>
        <w:t xml:space="preserve">already more energy efficient </w:t>
      </w:r>
      <w:r w:rsidRPr="005977CC">
        <w:rPr>
          <w:color w:val="000000"/>
          <w:sz w:val="20"/>
        </w:rPr>
        <w:t>housing stock</w:t>
      </w:r>
      <w:r w:rsidR="00540856">
        <w:rPr>
          <w:color w:val="000000"/>
          <w:sz w:val="20"/>
        </w:rPr>
        <w:t>.</w:t>
      </w:r>
      <w:r w:rsidR="00085921">
        <w:rPr>
          <w:color w:val="000000"/>
          <w:sz w:val="20"/>
        </w:rPr>
        <w:t xml:space="preserve"> </w:t>
      </w:r>
      <w:r w:rsidR="00972437" w:rsidRPr="005977CC">
        <w:rPr>
          <w:sz w:val="20"/>
        </w:rPr>
        <w:t xml:space="preserve">Potential </w:t>
      </w:r>
      <w:r w:rsidR="00972437">
        <w:rPr>
          <w:sz w:val="20"/>
        </w:rPr>
        <w:t xml:space="preserve">net benefits or harms for </w:t>
      </w:r>
      <w:r w:rsidR="00972437" w:rsidRPr="005977CC">
        <w:rPr>
          <w:sz w:val="20"/>
        </w:rPr>
        <w:t xml:space="preserve">health </w:t>
      </w:r>
      <w:r w:rsidR="00972437">
        <w:rPr>
          <w:sz w:val="20"/>
        </w:rPr>
        <w:t>are also greater in London as measured in terms of</w:t>
      </w:r>
      <w:r w:rsidR="00972437" w:rsidRPr="005977CC">
        <w:rPr>
          <w:sz w:val="20"/>
        </w:rPr>
        <w:t xml:space="preserve"> </w:t>
      </w:r>
      <w:r w:rsidR="00972437" w:rsidRPr="00A33012">
        <w:rPr>
          <w:i/>
          <w:sz w:val="20"/>
        </w:rPr>
        <w:t>per capita</w:t>
      </w:r>
      <w:r w:rsidR="00972437" w:rsidRPr="005977CC">
        <w:rPr>
          <w:sz w:val="20"/>
        </w:rPr>
        <w:t xml:space="preserve"> gains</w:t>
      </w:r>
      <w:r w:rsidR="00972437">
        <w:rPr>
          <w:rFonts w:eastAsia="Cambria"/>
          <w:sz w:val="20"/>
        </w:rPr>
        <w:t xml:space="preserve"> in life expectancy</w:t>
      </w:r>
      <w:r w:rsidR="00972437" w:rsidRPr="005977CC">
        <w:rPr>
          <w:sz w:val="20"/>
        </w:rPr>
        <w:t xml:space="preserve">. </w:t>
      </w:r>
      <w:r w:rsidRPr="005977CC">
        <w:rPr>
          <w:sz w:val="20"/>
        </w:rPr>
        <w:t>We highlight the importance of not applying a ‘one size fits all’ energy saving and CO</w:t>
      </w:r>
      <w:r w:rsidRPr="005977CC">
        <w:rPr>
          <w:sz w:val="20"/>
          <w:vertAlign w:val="subscript"/>
        </w:rPr>
        <w:t>2</w:t>
      </w:r>
      <w:r w:rsidRPr="005977CC">
        <w:rPr>
          <w:sz w:val="20"/>
        </w:rPr>
        <w:t xml:space="preserve"> emission reduction policy</w:t>
      </w:r>
      <w:r w:rsidR="00466287">
        <w:rPr>
          <w:sz w:val="20"/>
        </w:rPr>
        <w:t>,</w:t>
      </w:r>
      <w:r w:rsidR="00972437">
        <w:rPr>
          <w:sz w:val="20"/>
        </w:rPr>
        <w:t xml:space="preserve"> as </w:t>
      </w:r>
      <w:r w:rsidRPr="005977CC">
        <w:rPr>
          <w:sz w:val="20"/>
        </w:rPr>
        <w:t xml:space="preserve">local differences in housing </w:t>
      </w:r>
      <w:r w:rsidR="000052EA">
        <w:rPr>
          <w:sz w:val="20"/>
        </w:rPr>
        <w:t xml:space="preserve">and the environment may have important </w:t>
      </w:r>
      <w:r w:rsidR="00972437">
        <w:rPr>
          <w:rFonts w:eastAsia="Cambria"/>
          <w:sz w:val="20"/>
        </w:rPr>
        <w:t>bearing on the impacts that can be achieved</w:t>
      </w:r>
      <w:r w:rsidRPr="005977CC">
        <w:rPr>
          <w:sz w:val="20"/>
        </w:rPr>
        <w:t xml:space="preserve">. </w:t>
      </w:r>
      <w:r w:rsidR="00B22208">
        <w:rPr>
          <w:sz w:val="20"/>
        </w:rPr>
        <w:t xml:space="preserve">Decarbonization </w:t>
      </w:r>
      <w:r w:rsidR="00DA22FE">
        <w:rPr>
          <w:sz w:val="20"/>
        </w:rPr>
        <w:t>of the</w:t>
      </w:r>
      <w:r w:rsidR="00B22208">
        <w:rPr>
          <w:sz w:val="20"/>
        </w:rPr>
        <w:t xml:space="preserve"> grid is </w:t>
      </w:r>
      <w:r w:rsidR="00085921">
        <w:rPr>
          <w:sz w:val="20"/>
        </w:rPr>
        <w:t xml:space="preserve">essential in </w:t>
      </w:r>
      <w:r w:rsidR="007A3B71">
        <w:rPr>
          <w:sz w:val="20"/>
        </w:rPr>
        <w:t>achieving CO</w:t>
      </w:r>
      <w:r w:rsidR="007A3B71" w:rsidRPr="00E5130E">
        <w:rPr>
          <w:sz w:val="20"/>
          <w:szCs w:val="20"/>
          <w:vertAlign w:val="subscript"/>
        </w:rPr>
        <w:t>2</w:t>
      </w:r>
      <w:r w:rsidR="00085921">
        <w:rPr>
          <w:rFonts w:eastAsia="Cambria"/>
          <w:sz w:val="20"/>
        </w:rPr>
        <w:t xml:space="preserve"> emissions reduction targets, especially in Milton Keynes. </w:t>
      </w:r>
    </w:p>
    <w:p w14:paraId="7DD68059" w14:textId="1D4F98D3" w:rsidR="00AD1B50" w:rsidRPr="005977CC" w:rsidRDefault="00972437" w:rsidP="003D4317">
      <w:pPr>
        <w:spacing w:line="480" w:lineRule="auto"/>
        <w:contextualSpacing/>
        <w:divId w:val="434059591"/>
        <w:rPr>
          <w:sz w:val="20"/>
        </w:rPr>
      </w:pPr>
      <w:r>
        <w:rPr>
          <w:sz w:val="20"/>
        </w:rPr>
        <w:t>Moreover, w</w:t>
      </w:r>
      <w:r w:rsidR="00AD1B50" w:rsidRPr="005977CC">
        <w:rPr>
          <w:sz w:val="20"/>
        </w:rPr>
        <w:t>hen designing for both low energy use and good health, there are important trade-offs between an increase in the airtightness of dwellings and changes in IAQ. If interventions are not correctly applied</w:t>
      </w:r>
      <w:r w:rsidR="00466287">
        <w:rPr>
          <w:sz w:val="20"/>
        </w:rPr>
        <w:t>,</w:t>
      </w:r>
      <w:r w:rsidR="00AD1B50" w:rsidRPr="005977CC">
        <w:rPr>
          <w:sz w:val="20"/>
        </w:rPr>
        <w:t xml:space="preserve"> there are risks of serious negative health effects</w:t>
      </w:r>
      <w:r w:rsidR="00AD1B50">
        <w:rPr>
          <w:rFonts w:eastAsia="Cambria"/>
          <w:sz w:val="20"/>
        </w:rPr>
        <w:t>.</w:t>
      </w:r>
      <w:r w:rsidR="00AD1B50" w:rsidRPr="005977CC">
        <w:rPr>
          <w:sz w:val="20"/>
        </w:rPr>
        <w:t xml:space="preserve"> In order to obtain both health gains and promote success in achieving CO</w:t>
      </w:r>
      <w:r w:rsidR="00AD1B50" w:rsidRPr="005977CC">
        <w:rPr>
          <w:sz w:val="20"/>
          <w:vertAlign w:val="subscript"/>
        </w:rPr>
        <w:t>2</w:t>
      </w:r>
      <w:r w:rsidR="00AD1B50" w:rsidRPr="005977CC">
        <w:rPr>
          <w:sz w:val="20"/>
        </w:rPr>
        <w:t xml:space="preserve"> emission reduction targets in both locations</w:t>
      </w:r>
      <w:r w:rsidR="009136E3">
        <w:rPr>
          <w:sz w:val="20"/>
        </w:rPr>
        <w:t>,</w:t>
      </w:r>
      <w:r w:rsidR="00AD1B50" w:rsidRPr="005977CC">
        <w:rPr>
          <w:sz w:val="20"/>
        </w:rPr>
        <w:t xml:space="preserve"> polic</w:t>
      </w:r>
      <w:r w:rsidR="00AD1B50">
        <w:rPr>
          <w:rFonts w:eastAsia="Cambria"/>
          <w:sz w:val="20"/>
        </w:rPr>
        <w:t>y</w:t>
      </w:r>
      <w:r w:rsidR="00AD1B50" w:rsidRPr="005977CC">
        <w:rPr>
          <w:sz w:val="20"/>
        </w:rPr>
        <w:t xml:space="preserve">makers need to consider a </w:t>
      </w:r>
      <w:r w:rsidR="001B2A24">
        <w:rPr>
          <w:sz w:val="20"/>
        </w:rPr>
        <w:t>wider</w:t>
      </w:r>
      <w:r w:rsidR="001B2A24" w:rsidRPr="005977CC">
        <w:rPr>
          <w:sz w:val="20"/>
        </w:rPr>
        <w:t xml:space="preserve"> </w:t>
      </w:r>
      <w:r w:rsidR="00AD1B50" w:rsidRPr="005977CC">
        <w:rPr>
          <w:sz w:val="20"/>
        </w:rPr>
        <w:t>view that includes strategies to extensively decarboni</w:t>
      </w:r>
      <w:r>
        <w:rPr>
          <w:sz w:val="20"/>
        </w:rPr>
        <w:t>z</w:t>
      </w:r>
      <w:r w:rsidR="00AD1B50" w:rsidRPr="005977CC">
        <w:rPr>
          <w:sz w:val="20"/>
        </w:rPr>
        <w:t xml:space="preserve">e the electricity grid with a move away from the reliance on residential use of gas. </w:t>
      </w:r>
    </w:p>
    <w:p w14:paraId="2906CA19" w14:textId="77777777" w:rsidR="00AD1B50" w:rsidRPr="003D4317" w:rsidRDefault="00AD1B50" w:rsidP="003D4317">
      <w:pPr>
        <w:spacing w:before="60"/>
        <w:divId w:val="434059591"/>
        <w:rPr>
          <w:b/>
          <w:color w:val="000000"/>
        </w:rPr>
      </w:pPr>
    </w:p>
    <w:p w14:paraId="72B3008C" w14:textId="77777777" w:rsidR="00AE10D8" w:rsidRPr="00D35F39" w:rsidRDefault="00AE10D8" w:rsidP="00DC1CA2">
      <w:pPr>
        <w:spacing w:after="0" w:line="480" w:lineRule="auto"/>
        <w:divId w:val="434059591"/>
        <w:rPr>
          <w:rFonts w:eastAsia="Times New Roman"/>
          <w:b/>
          <w:color w:val="000000" w:themeColor="text1"/>
          <w:sz w:val="20"/>
          <w:szCs w:val="20"/>
          <w:lang w:eastAsia="en-GB"/>
        </w:rPr>
      </w:pPr>
      <w:r w:rsidRPr="00D35F39">
        <w:rPr>
          <w:b/>
          <w:bCs/>
          <w:sz w:val="20"/>
          <w:szCs w:val="20"/>
        </w:rPr>
        <w:lastRenderedPageBreak/>
        <w:t>Acknowledgements</w:t>
      </w:r>
      <w:r w:rsidRPr="00D35F39">
        <w:rPr>
          <w:sz w:val="20"/>
          <w:szCs w:val="20"/>
        </w:rPr>
        <w:t xml:space="preserve"> </w:t>
      </w:r>
    </w:p>
    <w:p w14:paraId="5828FAE9" w14:textId="77777777" w:rsidR="00162F9B" w:rsidRPr="00D35F39" w:rsidRDefault="00C54C48" w:rsidP="00162F9B">
      <w:pPr>
        <w:spacing w:after="0" w:line="480" w:lineRule="auto"/>
        <w:divId w:val="434059591"/>
        <w:rPr>
          <w:color w:val="000000" w:themeColor="text1"/>
          <w:sz w:val="20"/>
          <w:szCs w:val="20"/>
        </w:rPr>
      </w:pPr>
      <w:r w:rsidRPr="00D35F39">
        <w:rPr>
          <w:color w:val="000000" w:themeColor="text1"/>
          <w:sz w:val="20"/>
          <w:szCs w:val="20"/>
        </w:rPr>
        <w:t>The research leading to these results has received funding from the European Union Seventh Framework Programme FP7/2007-2013 under grant agreement no 265325 (PURGE). The authors wish to express their gratitude for this funding.</w:t>
      </w:r>
    </w:p>
    <w:p w14:paraId="76CDCE76" w14:textId="7192714D" w:rsidR="00197E4C" w:rsidRDefault="00197E4C" w:rsidP="00094D55">
      <w:pPr>
        <w:spacing w:after="0" w:line="240" w:lineRule="auto"/>
        <w:contextualSpacing/>
        <w:jc w:val="left"/>
        <w:divId w:val="434059591"/>
        <w:rPr>
          <w:rFonts w:eastAsia="Times New Roman"/>
          <w:b/>
          <w:color w:val="000000"/>
          <w:sz w:val="20"/>
          <w:szCs w:val="20"/>
          <w:lang w:eastAsia="en-GB"/>
        </w:rPr>
      </w:pPr>
    </w:p>
    <w:p w14:paraId="50768B10" w14:textId="77777777" w:rsidR="00197E4C" w:rsidRDefault="00197E4C" w:rsidP="00094D55">
      <w:pPr>
        <w:spacing w:after="0" w:line="240" w:lineRule="auto"/>
        <w:contextualSpacing/>
        <w:jc w:val="left"/>
        <w:divId w:val="434059591"/>
        <w:rPr>
          <w:rFonts w:eastAsia="Times New Roman"/>
          <w:b/>
          <w:color w:val="000000"/>
          <w:sz w:val="20"/>
          <w:szCs w:val="20"/>
          <w:lang w:eastAsia="en-GB"/>
        </w:rPr>
      </w:pPr>
    </w:p>
    <w:p w14:paraId="13C28887" w14:textId="77777777" w:rsidR="00094D55" w:rsidRPr="00D35F39" w:rsidRDefault="00094D55" w:rsidP="00094D55">
      <w:pPr>
        <w:spacing w:after="0" w:line="240" w:lineRule="auto"/>
        <w:contextualSpacing/>
        <w:jc w:val="left"/>
        <w:divId w:val="434059591"/>
        <w:rPr>
          <w:rFonts w:eastAsia="Times New Roman"/>
          <w:b/>
          <w:color w:val="000000"/>
          <w:sz w:val="20"/>
          <w:szCs w:val="20"/>
          <w:lang w:eastAsia="en-GB"/>
        </w:rPr>
      </w:pPr>
      <w:r w:rsidRPr="00D35F39">
        <w:rPr>
          <w:rFonts w:eastAsia="Times New Roman"/>
          <w:b/>
          <w:color w:val="000000"/>
          <w:sz w:val="20"/>
          <w:szCs w:val="20"/>
          <w:lang w:eastAsia="en-GB"/>
        </w:rPr>
        <w:t>References</w:t>
      </w:r>
    </w:p>
    <w:p w14:paraId="28FC6C66" w14:textId="77777777" w:rsidR="00094D55" w:rsidRPr="00D35F39" w:rsidRDefault="00094D55" w:rsidP="00094D55">
      <w:pPr>
        <w:spacing w:after="0" w:line="240" w:lineRule="auto"/>
        <w:jc w:val="left"/>
        <w:divId w:val="434059591"/>
        <w:rPr>
          <w:rFonts w:ascii="Calibri" w:hAnsi="Calibri"/>
          <w:sz w:val="20"/>
          <w:szCs w:val="20"/>
        </w:rPr>
      </w:pPr>
      <w:r w:rsidRPr="00D35F39">
        <w:rPr>
          <w:color w:val="000000"/>
          <w:sz w:val="20"/>
          <w:szCs w:val="20"/>
        </w:rPr>
        <w:t xml:space="preserve"> </w:t>
      </w:r>
    </w:p>
    <w:p w14:paraId="76D75839" w14:textId="77777777" w:rsidR="00094D55" w:rsidRPr="00D35F39" w:rsidRDefault="00094D55" w:rsidP="00094D55">
      <w:pPr>
        <w:spacing w:before="120" w:after="120" w:line="240" w:lineRule="auto"/>
        <w:jc w:val="left"/>
        <w:divId w:val="434059591"/>
        <w:rPr>
          <w:color w:val="000000"/>
          <w:sz w:val="20"/>
          <w:szCs w:val="20"/>
        </w:rPr>
      </w:pPr>
      <w:r w:rsidRPr="00D35F39">
        <w:rPr>
          <w:color w:val="000000"/>
          <w:sz w:val="20"/>
          <w:szCs w:val="20"/>
        </w:rPr>
        <w:t>Afshari, A., Matson, U.</w:t>
      </w:r>
      <w:r w:rsidR="002D2D28" w:rsidRPr="00D35F39">
        <w:rPr>
          <w:color w:val="000000"/>
          <w:sz w:val="20"/>
          <w:szCs w:val="20"/>
        </w:rPr>
        <w:t>,</w:t>
      </w:r>
      <w:r w:rsidR="002E6809" w:rsidRPr="00D35F39">
        <w:rPr>
          <w:color w:val="000000"/>
          <w:sz w:val="20"/>
          <w:szCs w:val="20"/>
        </w:rPr>
        <w:t xml:space="preserve"> </w:t>
      </w:r>
      <w:r w:rsidRPr="00D35F39">
        <w:rPr>
          <w:color w:val="000000"/>
          <w:sz w:val="20"/>
          <w:szCs w:val="20"/>
        </w:rPr>
        <w:t>Ekberg, L.E.</w:t>
      </w:r>
      <w:r w:rsidR="002D2D28" w:rsidRPr="00D35F39">
        <w:rPr>
          <w:color w:val="000000"/>
          <w:sz w:val="20"/>
          <w:szCs w:val="20"/>
        </w:rPr>
        <w:t>,</w:t>
      </w:r>
      <w:r w:rsidRPr="00D35F39">
        <w:rPr>
          <w:color w:val="000000"/>
          <w:sz w:val="20"/>
          <w:szCs w:val="20"/>
        </w:rPr>
        <w:t xml:space="preserve"> 2005</w:t>
      </w:r>
      <w:r w:rsidR="002E6809" w:rsidRPr="00D35F39">
        <w:rPr>
          <w:color w:val="000000"/>
          <w:sz w:val="20"/>
          <w:szCs w:val="20"/>
        </w:rPr>
        <w:t>.</w:t>
      </w:r>
      <w:r w:rsidRPr="00D35F39">
        <w:rPr>
          <w:color w:val="000000"/>
          <w:sz w:val="20"/>
          <w:szCs w:val="20"/>
        </w:rPr>
        <w:t xml:space="preserve"> Characterization of indoor sources of fine and ultrafine particles: a study conducted in a full-scale chamber, Indoor Air 15:141e50.</w:t>
      </w:r>
    </w:p>
    <w:p w14:paraId="3E607460" w14:textId="77777777" w:rsidR="00094D55" w:rsidRPr="00D35F39" w:rsidRDefault="000D32DD" w:rsidP="00094D55">
      <w:pPr>
        <w:spacing w:before="120" w:after="120" w:line="240" w:lineRule="auto"/>
        <w:jc w:val="left"/>
        <w:divId w:val="434059591"/>
        <w:rPr>
          <w:color w:val="000000"/>
          <w:sz w:val="20"/>
          <w:szCs w:val="20"/>
        </w:rPr>
      </w:pPr>
      <w:r w:rsidRPr="000D32DD">
        <w:rPr>
          <w:color w:val="000000"/>
          <w:sz w:val="20"/>
          <w:szCs w:val="20"/>
        </w:rPr>
        <w:t>Bone, A., Murr</w:t>
      </w:r>
      <w:r>
        <w:rPr>
          <w:color w:val="000000"/>
          <w:sz w:val="20"/>
          <w:szCs w:val="20"/>
        </w:rPr>
        <w:t>ay, V., Myers, I., Dengel, A.</w:t>
      </w:r>
      <w:r w:rsidR="00F770A2">
        <w:rPr>
          <w:color w:val="000000"/>
          <w:sz w:val="20"/>
          <w:szCs w:val="20"/>
        </w:rPr>
        <w:t xml:space="preserve">, </w:t>
      </w:r>
      <w:r w:rsidR="00F770A2" w:rsidRPr="000D32DD">
        <w:rPr>
          <w:color w:val="000000"/>
          <w:sz w:val="20"/>
          <w:szCs w:val="20"/>
        </w:rPr>
        <w:t>Crump</w:t>
      </w:r>
      <w:r w:rsidRPr="000D32DD">
        <w:rPr>
          <w:color w:val="000000"/>
          <w:sz w:val="20"/>
          <w:szCs w:val="20"/>
        </w:rPr>
        <w:t>, D.</w:t>
      </w:r>
      <w:r>
        <w:rPr>
          <w:color w:val="000000"/>
          <w:sz w:val="20"/>
          <w:szCs w:val="20"/>
        </w:rPr>
        <w:t>, 2010</w:t>
      </w:r>
      <w:r w:rsidRPr="000D32DD">
        <w:rPr>
          <w:color w:val="000000"/>
          <w:sz w:val="20"/>
          <w:szCs w:val="20"/>
        </w:rPr>
        <w:t xml:space="preserve">. Will drivers for home energy efficiency harm occupant health? Perspectives in Public Health, 130(5), 233–238. </w:t>
      </w:r>
      <w:r w:rsidR="00F770A2" w:rsidRPr="000D32DD">
        <w:rPr>
          <w:color w:val="000000"/>
          <w:sz w:val="20"/>
          <w:szCs w:val="20"/>
        </w:rPr>
        <w:t>Doi</w:t>
      </w:r>
      <w:r w:rsidR="006D0591" w:rsidRPr="000D32DD">
        <w:rPr>
          <w:color w:val="000000"/>
          <w:sz w:val="20"/>
          <w:szCs w:val="20"/>
        </w:rPr>
        <w:t>: 10.1177</w:t>
      </w:r>
      <w:r w:rsidRPr="000D32DD">
        <w:rPr>
          <w:color w:val="000000"/>
          <w:sz w:val="20"/>
          <w:szCs w:val="20"/>
        </w:rPr>
        <w:t xml:space="preserve">/1757913910369092 </w:t>
      </w:r>
    </w:p>
    <w:p w14:paraId="155D4F7C" w14:textId="77777777" w:rsidR="00094D55" w:rsidRPr="00D35F39" w:rsidRDefault="00094D55" w:rsidP="00094D55">
      <w:pPr>
        <w:spacing w:before="120" w:after="120" w:line="240" w:lineRule="auto"/>
        <w:jc w:val="left"/>
        <w:divId w:val="434059591"/>
        <w:rPr>
          <w:sz w:val="20"/>
          <w:szCs w:val="20"/>
        </w:rPr>
      </w:pPr>
      <w:r w:rsidRPr="00D35F39">
        <w:rPr>
          <w:bCs/>
          <w:sz w:val="20"/>
          <w:szCs w:val="20"/>
        </w:rPr>
        <w:t>BRE</w:t>
      </w:r>
      <w:r w:rsidR="002D2D28" w:rsidRPr="00D35F39">
        <w:rPr>
          <w:bCs/>
          <w:sz w:val="20"/>
          <w:szCs w:val="20"/>
        </w:rPr>
        <w:t>,</w:t>
      </w:r>
      <w:r w:rsidRPr="00D35F39">
        <w:rPr>
          <w:bCs/>
          <w:sz w:val="20"/>
          <w:szCs w:val="20"/>
        </w:rPr>
        <w:t xml:space="preserve"> 2009</w:t>
      </w:r>
      <w:r w:rsidR="002D2D28" w:rsidRPr="00D35F39">
        <w:rPr>
          <w:bCs/>
          <w:sz w:val="20"/>
          <w:szCs w:val="20"/>
        </w:rPr>
        <w:t>.</w:t>
      </w:r>
      <w:r w:rsidRPr="00D35F39">
        <w:rPr>
          <w:bCs/>
          <w:sz w:val="20"/>
          <w:szCs w:val="20"/>
        </w:rPr>
        <w:t xml:space="preserve"> BR480 Reducing Carbon Emissions from the UK Housing Stock. © </w:t>
      </w:r>
      <w:r w:rsidR="002E6809" w:rsidRPr="00D35F39">
        <w:rPr>
          <w:bCs/>
          <w:sz w:val="20"/>
          <w:szCs w:val="20"/>
        </w:rPr>
        <w:t>Copyright. Last</w:t>
      </w:r>
      <w:r w:rsidR="002D2D28" w:rsidRPr="00D35F39">
        <w:rPr>
          <w:bCs/>
          <w:sz w:val="20"/>
          <w:szCs w:val="20"/>
        </w:rPr>
        <w:t xml:space="preserve"> accessed 24</w:t>
      </w:r>
      <w:r w:rsidR="002D2D28" w:rsidRPr="00D35F39">
        <w:rPr>
          <w:bCs/>
          <w:sz w:val="20"/>
          <w:szCs w:val="20"/>
          <w:vertAlign w:val="superscript"/>
        </w:rPr>
        <w:t>th</w:t>
      </w:r>
      <w:r w:rsidR="002D2D28" w:rsidRPr="00D35F39">
        <w:rPr>
          <w:bCs/>
          <w:sz w:val="20"/>
          <w:szCs w:val="20"/>
        </w:rPr>
        <w:t xml:space="preserve"> January 2015 at</w:t>
      </w:r>
      <w:r w:rsidRPr="00D35F39">
        <w:rPr>
          <w:bCs/>
          <w:sz w:val="20"/>
          <w:szCs w:val="20"/>
        </w:rPr>
        <w:t xml:space="preserve"> </w:t>
      </w:r>
      <w:hyperlink r:id="rId15" w:history="1">
        <w:r w:rsidRPr="00D35F39">
          <w:rPr>
            <w:color w:val="0000FF"/>
            <w:sz w:val="20"/>
            <w:szCs w:val="20"/>
            <w:u w:val="single"/>
          </w:rPr>
          <w:t>http://projects.bre.co.uk/PDF_files/ReducingCarbonEmissionsHousingv3.pdf</w:t>
        </w:r>
      </w:hyperlink>
      <w:r w:rsidRPr="00D35F39">
        <w:rPr>
          <w:sz w:val="20"/>
          <w:szCs w:val="20"/>
        </w:rPr>
        <w:t xml:space="preserve"> </w:t>
      </w:r>
    </w:p>
    <w:p w14:paraId="37BEFBE6" w14:textId="77777777" w:rsidR="00634771" w:rsidRPr="00D35F39" w:rsidRDefault="000C6EF4" w:rsidP="00094D55">
      <w:pPr>
        <w:spacing w:before="120" w:after="120" w:line="240" w:lineRule="auto"/>
        <w:jc w:val="left"/>
        <w:divId w:val="434059591"/>
        <w:rPr>
          <w:sz w:val="20"/>
          <w:szCs w:val="20"/>
        </w:rPr>
      </w:pPr>
      <w:r w:rsidRPr="00D35F39">
        <w:rPr>
          <w:sz w:val="20"/>
          <w:szCs w:val="20"/>
        </w:rPr>
        <w:t>BRE</w:t>
      </w:r>
      <w:r w:rsidR="002D2D28" w:rsidRPr="00D35F39">
        <w:rPr>
          <w:sz w:val="20"/>
          <w:szCs w:val="20"/>
        </w:rPr>
        <w:t>,</w:t>
      </w:r>
      <w:r w:rsidRPr="00D35F39">
        <w:rPr>
          <w:sz w:val="20"/>
          <w:szCs w:val="20"/>
        </w:rPr>
        <w:t xml:space="preserve"> 2012</w:t>
      </w:r>
      <w:r w:rsidR="002D2D28" w:rsidRPr="00D35F39">
        <w:rPr>
          <w:sz w:val="20"/>
          <w:szCs w:val="20"/>
        </w:rPr>
        <w:t>.</w:t>
      </w:r>
      <w:r w:rsidR="00634771" w:rsidRPr="00D35F39">
        <w:rPr>
          <w:sz w:val="20"/>
          <w:szCs w:val="20"/>
        </w:rPr>
        <w:t xml:space="preserve"> The Government’s </w:t>
      </w:r>
      <w:r w:rsidR="00096438" w:rsidRPr="00D35F39">
        <w:rPr>
          <w:sz w:val="20"/>
          <w:szCs w:val="20"/>
        </w:rPr>
        <w:t>S</w:t>
      </w:r>
      <w:r w:rsidR="00634771" w:rsidRPr="00D35F39">
        <w:rPr>
          <w:sz w:val="20"/>
          <w:szCs w:val="20"/>
        </w:rPr>
        <w:t xml:space="preserve">tandard Assessment </w:t>
      </w:r>
      <w:r w:rsidR="002E6809" w:rsidRPr="00D35F39">
        <w:rPr>
          <w:sz w:val="20"/>
          <w:szCs w:val="20"/>
        </w:rPr>
        <w:t>Procedure</w:t>
      </w:r>
      <w:r w:rsidR="00634771" w:rsidRPr="00D35F39">
        <w:rPr>
          <w:sz w:val="20"/>
          <w:szCs w:val="20"/>
        </w:rPr>
        <w:t xml:space="preserve"> for Energy Rating of Dwellings (C) Crown copyright 2014. Last accessed 30</w:t>
      </w:r>
      <w:r w:rsidR="00634771" w:rsidRPr="00D35F39">
        <w:rPr>
          <w:sz w:val="20"/>
          <w:szCs w:val="20"/>
          <w:vertAlign w:val="superscript"/>
        </w:rPr>
        <w:t>th</w:t>
      </w:r>
      <w:r w:rsidR="00634771" w:rsidRPr="00D35F39">
        <w:rPr>
          <w:sz w:val="20"/>
          <w:szCs w:val="20"/>
        </w:rPr>
        <w:t xml:space="preserve"> January 2015 at </w:t>
      </w:r>
      <w:hyperlink r:id="rId16" w:history="1">
        <w:r w:rsidR="00634771" w:rsidRPr="00D35F39">
          <w:rPr>
            <w:rStyle w:val="Hyperlink"/>
            <w:sz w:val="20"/>
            <w:szCs w:val="20"/>
          </w:rPr>
          <w:t>http://www.bre.co.uk/filelibrary/SAP/2012/SAP-2012_9-92.pdf</w:t>
        </w:r>
      </w:hyperlink>
    </w:p>
    <w:p w14:paraId="34D274B5" w14:textId="77777777" w:rsidR="00094D55" w:rsidRPr="00D35F39" w:rsidRDefault="00094D55" w:rsidP="00094D55">
      <w:pPr>
        <w:spacing w:before="120" w:after="120" w:line="240" w:lineRule="auto"/>
        <w:jc w:val="left"/>
        <w:divId w:val="434059591"/>
        <w:rPr>
          <w:color w:val="000000" w:themeColor="text1"/>
          <w:sz w:val="20"/>
          <w:szCs w:val="20"/>
        </w:rPr>
      </w:pPr>
      <w:r w:rsidRPr="00D35F39">
        <w:rPr>
          <w:color w:val="000000" w:themeColor="text1"/>
          <w:sz w:val="20"/>
          <w:szCs w:val="20"/>
        </w:rPr>
        <w:t>CCC</w:t>
      </w:r>
      <w:r w:rsidR="002D2D28" w:rsidRPr="00D35F39">
        <w:rPr>
          <w:color w:val="000000" w:themeColor="text1"/>
          <w:sz w:val="20"/>
          <w:szCs w:val="20"/>
        </w:rPr>
        <w:t>,</w:t>
      </w:r>
      <w:r w:rsidRPr="00D35F39">
        <w:rPr>
          <w:color w:val="000000" w:themeColor="text1"/>
          <w:sz w:val="20"/>
          <w:szCs w:val="20"/>
        </w:rPr>
        <w:t xml:space="preserve"> 2010</w:t>
      </w:r>
      <w:r w:rsidR="002D2D28" w:rsidRPr="00D35F39">
        <w:rPr>
          <w:color w:val="000000" w:themeColor="text1"/>
          <w:sz w:val="20"/>
          <w:szCs w:val="20"/>
        </w:rPr>
        <w:t>.</w:t>
      </w:r>
      <w:r w:rsidRPr="00D35F39">
        <w:rPr>
          <w:color w:val="000000" w:themeColor="text1"/>
          <w:sz w:val="20"/>
          <w:szCs w:val="20"/>
        </w:rPr>
        <w:t xml:space="preserve"> Fourth Carbon Budget. London, UK: UK Committee on Climate Change.</w:t>
      </w:r>
    </w:p>
    <w:p w14:paraId="08D4088B" w14:textId="77777777" w:rsidR="00094D55" w:rsidRPr="00D35F39" w:rsidRDefault="00094D55" w:rsidP="00094D55">
      <w:pPr>
        <w:spacing w:before="120" w:after="120" w:line="240" w:lineRule="auto"/>
        <w:jc w:val="left"/>
        <w:divId w:val="434059591"/>
        <w:rPr>
          <w:bCs/>
          <w:sz w:val="20"/>
          <w:szCs w:val="20"/>
        </w:rPr>
      </w:pPr>
      <w:r w:rsidRPr="00D35F39">
        <w:rPr>
          <w:bCs/>
          <w:sz w:val="20"/>
          <w:szCs w:val="20"/>
        </w:rPr>
        <w:t>Chen, C.</w:t>
      </w:r>
      <w:r w:rsidR="002D2D28" w:rsidRPr="00D35F39">
        <w:rPr>
          <w:bCs/>
          <w:sz w:val="20"/>
          <w:szCs w:val="20"/>
        </w:rPr>
        <w:t>,</w:t>
      </w:r>
      <w:r w:rsidRPr="00D35F39">
        <w:rPr>
          <w:bCs/>
          <w:sz w:val="20"/>
          <w:szCs w:val="20"/>
        </w:rPr>
        <w:t xml:space="preserve"> Zhao, B.</w:t>
      </w:r>
      <w:r w:rsidR="002D2D28" w:rsidRPr="00D35F39">
        <w:rPr>
          <w:bCs/>
          <w:sz w:val="20"/>
          <w:szCs w:val="20"/>
        </w:rPr>
        <w:t>,</w:t>
      </w:r>
      <w:r w:rsidRPr="00D35F39">
        <w:rPr>
          <w:bCs/>
          <w:sz w:val="20"/>
          <w:szCs w:val="20"/>
        </w:rPr>
        <w:t xml:space="preserve"> 2011</w:t>
      </w:r>
      <w:r w:rsidR="002D2D28" w:rsidRPr="00D35F39">
        <w:rPr>
          <w:bCs/>
          <w:sz w:val="20"/>
          <w:szCs w:val="20"/>
        </w:rPr>
        <w:t>.</w:t>
      </w:r>
      <w:r w:rsidRPr="00D35F39">
        <w:rPr>
          <w:bCs/>
          <w:sz w:val="20"/>
          <w:szCs w:val="20"/>
        </w:rPr>
        <w:t xml:space="preserve"> Review of relationship between indoor and outdoor particles: I/O Ratio, infiltration factor and penetration factor, Atmospheric Environment 45, 275-288.</w:t>
      </w:r>
    </w:p>
    <w:p w14:paraId="4958663B" w14:textId="77777777" w:rsidR="00094D55" w:rsidRPr="00D35F39" w:rsidRDefault="00094D55" w:rsidP="00094D55">
      <w:pPr>
        <w:spacing w:before="120" w:after="120" w:line="240" w:lineRule="auto"/>
        <w:jc w:val="left"/>
        <w:divId w:val="434059591"/>
        <w:rPr>
          <w:sz w:val="20"/>
          <w:szCs w:val="20"/>
        </w:rPr>
      </w:pPr>
      <w:r w:rsidRPr="00D35F39">
        <w:rPr>
          <w:sz w:val="20"/>
          <w:szCs w:val="20"/>
        </w:rPr>
        <w:t>CIBSE, 2010. Chartered institution of Building Services Engineers. Last accessed 9</w:t>
      </w:r>
      <w:r w:rsidRPr="00D35F39">
        <w:rPr>
          <w:sz w:val="20"/>
          <w:szCs w:val="20"/>
          <w:vertAlign w:val="superscript"/>
        </w:rPr>
        <w:t>th</w:t>
      </w:r>
      <w:r w:rsidRPr="00D35F39">
        <w:rPr>
          <w:sz w:val="20"/>
          <w:szCs w:val="20"/>
        </w:rPr>
        <w:t xml:space="preserve"> September 201</w:t>
      </w:r>
      <w:r w:rsidR="002D2D28" w:rsidRPr="00D35F39">
        <w:rPr>
          <w:sz w:val="20"/>
          <w:szCs w:val="20"/>
        </w:rPr>
        <w:t>4</w:t>
      </w:r>
      <w:r w:rsidRPr="00D35F39">
        <w:rPr>
          <w:sz w:val="20"/>
          <w:szCs w:val="20"/>
        </w:rPr>
        <w:t xml:space="preserve"> at </w:t>
      </w:r>
      <w:hyperlink r:id="rId17" w:history="1">
        <w:r w:rsidRPr="00D35F39">
          <w:rPr>
            <w:color w:val="0000FF"/>
            <w:sz w:val="20"/>
            <w:szCs w:val="20"/>
            <w:u w:val="single"/>
          </w:rPr>
          <w:t>http://www.cibse.org/</w:t>
        </w:r>
      </w:hyperlink>
    </w:p>
    <w:p w14:paraId="5F56C5F1" w14:textId="77777777" w:rsidR="00094D55" w:rsidRPr="00D35F39" w:rsidRDefault="00094D55" w:rsidP="00094D55">
      <w:pPr>
        <w:spacing w:before="120" w:after="120" w:line="240" w:lineRule="auto"/>
        <w:jc w:val="left"/>
        <w:divId w:val="434059591"/>
        <w:rPr>
          <w:sz w:val="20"/>
          <w:szCs w:val="20"/>
        </w:rPr>
      </w:pPr>
      <w:r w:rsidRPr="00D35F39">
        <w:rPr>
          <w:sz w:val="20"/>
          <w:szCs w:val="20"/>
        </w:rPr>
        <w:t>Crump, D.</w:t>
      </w:r>
      <w:r w:rsidR="002D2D28" w:rsidRPr="00D35F39">
        <w:rPr>
          <w:sz w:val="20"/>
          <w:szCs w:val="20"/>
        </w:rPr>
        <w:t>,</w:t>
      </w:r>
      <w:r w:rsidR="002E6809" w:rsidRPr="00D35F39">
        <w:rPr>
          <w:sz w:val="20"/>
          <w:szCs w:val="20"/>
        </w:rPr>
        <w:t xml:space="preserve"> </w:t>
      </w:r>
      <w:r w:rsidRPr="00D35F39">
        <w:rPr>
          <w:sz w:val="20"/>
          <w:szCs w:val="20"/>
        </w:rPr>
        <w:t xml:space="preserve">2011. Climate change – health impacts due to changes in the indoor environment: Research needs. </w:t>
      </w:r>
      <w:r w:rsidR="002D2D28" w:rsidRPr="00D35F39">
        <w:rPr>
          <w:rFonts w:eastAsia="Cambria"/>
          <w:sz w:val="20"/>
          <w:szCs w:val="20"/>
          <w:lang w:eastAsia="en-GB"/>
        </w:rPr>
        <w:t xml:space="preserve"> </w:t>
      </w:r>
      <w:r w:rsidR="002D2D28" w:rsidRPr="00D35F39">
        <w:rPr>
          <w:bCs/>
          <w:sz w:val="20"/>
          <w:szCs w:val="20"/>
        </w:rPr>
        <w:t>Last accessed 24</w:t>
      </w:r>
      <w:r w:rsidR="002D2D28" w:rsidRPr="00D35F39">
        <w:rPr>
          <w:bCs/>
          <w:sz w:val="20"/>
          <w:szCs w:val="20"/>
          <w:vertAlign w:val="superscript"/>
        </w:rPr>
        <w:t>th</w:t>
      </w:r>
      <w:r w:rsidR="002D2D28" w:rsidRPr="00D35F39">
        <w:rPr>
          <w:bCs/>
          <w:sz w:val="20"/>
          <w:szCs w:val="20"/>
        </w:rPr>
        <w:t xml:space="preserve"> January 2015 at </w:t>
      </w:r>
      <w:r w:rsidRPr="00D35F39">
        <w:rPr>
          <w:sz w:val="20"/>
          <w:szCs w:val="20"/>
        </w:rPr>
        <w:t>http://www.cranfield.ac.uk/health/researchareas/environmenthealth/ieh/climate_change_reportieh_feb11a.pdf</w:t>
      </w:r>
    </w:p>
    <w:p w14:paraId="1EF48698" w14:textId="77777777" w:rsidR="00AA41F0" w:rsidRDefault="00AA41F0" w:rsidP="00094D55">
      <w:pPr>
        <w:spacing w:before="120" w:after="120" w:line="240" w:lineRule="auto"/>
        <w:jc w:val="left"/>
        <w:divId w:val="434059591"/>
        <w:rPr>
          <w:color w:val="000000"/>
          <w:sz w:val="20"/>
          <w:szCs w:val="20"/>
        </w:rPr>
      </w:pPr>
      <w:r>
        <w:rPr>
          <w:color w:val="000000"/>
          <w:sz w:val="20"/>
          <w:szCs w:val="20"/>
        </w:rPr>
        <w:t>CSE, 2012.  Milton Keynes Energy Mapping Project: final report. Last accessed 10</w:t>
      </w:r>
      <w:r w:rsidRPr="008F394E">
        <w:rPr>
          <w:color w:val="000000"/>
          <w:sz w:val="20"/>
          <w:szCs w:val="20"/>
          <w:vertAlign w:val="superscript"/>
        </w:rPr>
        <w:t>th</w:t>
      </w:r>
      <w:r>
        <w:rPr>
          <w:color w:val="000000"/>
          <w:sz w:val="20"/>
          <w:szCs w:val="20"/>
        </w:rPr>
        <w:t xml:space="preserve"> February 2915 at </w:t>
      </w:r>
      <w:hyperlink r:id="rId18" w:history="1">
        <w:r w:rsidRPr="00CB110E">
          <w:rPr>
            <w:rStyle w:val="Hyperlink"/>
            <w:sz w:val="20"/>
            <w:szCs w:val="20"/>
          </w:rPr>
          <w:t>http://www.milton-keynes.gov.uk/assets/attach/13931/Milton_Keynes_Energy_Mapping_Study_-_Final_301112.pdf</w:t>
        </w:r>
      </w:hyperlink>
    </w:p>
    <w:p w14:paraId="25DC391B" w14:textId="77777777" w:rsidR="00094D55" w:rsidRPr="00D35F39" w:rsidRDefault="00094D55" w:rsidP="00094D55">
      <w:pPr>
        <w:spacing w:before="120" w:after="120" w:line="240" w:lineRule="auto"/>
        <w:jc w:val="left"/>
        <w:divId w:val="434059591"/>
        <w:rPr>
          <w:color w:val="000000"/>
          <w:sz w:val="20"/>
          <w:szCs w:val="20"/>
        </w:rPr>
      </w:pPr>
      <w:r w:rsidRPr="00D35F39">
        <w:rPr>
          <w:color w:val="000000"/>
          <w:sz w:val="20"/>
          <w:szCs w:val="20"/>
        </w:rPr>
        <w:t>Darby</w:t>
      </w:r>
      <w:r w:rsidR="002D2D28" w:rsidRPr="00D35F39">
        <w:rPr>
          <w:color w:val="000000"/>
          <w:sz w:val="20"/>
          <w:szCs w:val="20"/>
        </w:rPr>
        <w:t>,</w:t>
      </w:r>
      <w:r w:rsidRPr="00D35F39">
        <w:rPr>
          <w:color w:val="000000"/>
          <w:sz w:val="20"/>
          <w:szCs w:val="20"/>
        </w:rPr>
        <w:t xml:space="preserve"> S</w:t>
      </w:r>
      <w:r w:rsidR="002D2D28" w:rsidRPr="00D35F39">
        <w:rPr>
          <w:color w:val="000000"/>
          <w:sz w:val="20"/>
          <w:szCs w:val="20"/>
        </w:rPr>
        <w:t>.</w:t>
      </w:r>
      <w:r w:rsidRPr="00D35F39">
        <w:rPr>
          <w:color w:val="000000"/>
          <w:sz w:val="20"/>
          <w:szCs w:val="20"/>
        </w:rPr>
        <w:t>, Hill</w:t>
      </w:r>
      <w:r w:rsidR="002D2D28" w:rsidRPr="00D35F39">
        <w:rPr>
          <w:color w:val="000000"/>
          <w:sz w:val="20"/>
          <w:szCs w:val="20"/>
        </w:rPr>
        <w:t>,</w:t>
      </w:r>
      <w:r w:rsidRPr="00D35F39">
        <w:rPr>
          <w:color w:val="000000"/>
          <w:sz w:val="20"/>
          <w:szCs w:val="20"/>
        </w:rPr>
        <w:t xml:space="preserve"> D</w:t>
      </w:r>
      <w:r w:rsidR="002D2D28" w:rsidRPr="00D35F39">
        <w:rPr>
          <w:color w:val="000000"/>
          <w:sz w:val="20"/>
          <w:szCs w:val="20"/>
        </w:rPr>
        <w:t>.</w:t>
      </w:r>
      <w:r w:rsidRPr="00D35F39">
        <w:rPr>
          <w:color w:val="000000"/>
          <w:sz w:val="20"/>
          <w:szCs w:val="20"/>
        </w:rPr>
        <w:t>, Auvinen</w:t>
      </w:r>
      <w:r w:rsidR="002D2D28" w:rsidRPr="00D35F39">
        <w:rPr>
          <w:color w:val="000000"/>
          <w:sz w:val="20"/>
          <w:szCs w:val="20"/>
        </w:rPr>
        <w:t>,</w:t>
      </w:r>
      <w:r w:rsidRPr="00D35F39">
        <w:rPr>
          <w:color w:val="000000"/>
          <w:sz w:val="20"/>
          <w:szCs w:val="20"/>
        </w:rPr>
        <w:t xml:space="preserve"> A</w:t>
      </w:r>
      <w:r w:rsidR="002D2D28" w:rsidRPr="00D35F39">
        <w:rPr>
          <w:color w:val="000000"/>
          <w:sz w:val="20"/>
          <w:szCs w:val="20"/>
        </w:rPr>
        <w:t>., 2005.</w:t>
      </w:r>
      <w:r w:rsidRPr="00D35F39">
        <w:rPr>
          <w:color w:val="000000"/>
          <w:sz w:val="20"/>
          <w:szCs w:val="20"/>
        </w:rPr>
        <w:t xml:space="preserve"> Radon in homes and risk of lung cancer: collaborative analysis of individual data from 13 European case-control studies. </w:t>
      </w:r>
      <w:r w:rsidR="002E6809" w:rsidRPr="00D35F39">
        <w:rPr>
          <w:color w:val="000000"/>
          <w:sz w:val="20"/>
          <w:szCs w:val="20"/>
        </w:rPr>
        <w:t>BMJ;</w:t>
      </w:r>
      <w:r w:rsidRPr="00D35F39">
        <w:rPr>
          <w:color w:val="000000"/>
          <w:sz w:val="20"/>
          <w:szCs w:val="20"/>
        </w:rPr>
        <w:t xml:space="preserve"> 330: 223.</w:t>
      </w:r>
    </w:p>
    <w:p w14:paraId="0C878A04" w14:textId="77777777" w:rsidR="00094D55" w:rsidRPr="00D35F39" w:rsidRDefault="00094D55" w:rsidP="00094D55">
      <w:pPr>
        <w:spacing w:before="120" w:after="120" w:line="240" w:lineRule="auto"/>
        <w:jc w:val="left"/>
        <w:divId w:val="434059591"/>
        <w:rPr>
          <w:color w:val="000000"/>
          <w:sz w:val="20"/>
          <w:szCs w:val="20"/>
        </w:rPr>
      </w:pPr>
      <w:r w:rsidRPr="00D35F39">
        <w:rPr>
          <w:color w:val="000000"/>
          <w:sz w:val="20"/>
          <w:szCs w:val="20"/>
        </w:rPr>
        <w:t>DECC</w:t>
      </w:r>
      <w:r w:rsidR="0053283C" w:rsidRPr="00D35F39">
        <w:rPr>
          <w:color w:val="000000"/>
          <w:sz w:val="20"/>
          <w:szCs w:val="20"/>
        </w:rPr>
        <w:t>, 2011.</w:t>
      </w:r>
      <w:r w:rsidRPr="00D35F39">
        <w:rPr>
          <w:color w:val="000000"/>
          <w:sz w:val="20"/>
          <w:szCs w:val="20"/>
        </w:rPr>
        <w:t xml:space="preserve"> UK Emissions Statistics: final UK greenhouse gas emissions. London, UK </w:t>
      </w:r>
    </w:p>
    <w:p w14:paraId="46C680B0" w14:textId="77777777" w:rsidR="00094D55" w:rsidRPr="00D35F39" w:rsidRDefault="00094D55" w:rsidP="00094D55">
      <w:pPr>
        <w:spacing w:before="120" w:after="120" w:line="240" w:lineRule="auto"/>
        <w:jc w:val="left"/>
        <w:divId w:val="434059591"/>
        <w:rPr>
          <w:color w:val="000000"/>
          <w:sz w:val="20"/>
          <w:szCs w:val="20"/>
        </w:rPr>
      </w:pPr>
      <w:r w:rsidRPr="00D35F39">
        <w:rPr>
          <w:color w:val="000000"/>
          <w:sz w:val="20"/>
          <w:szCs w:val="20"/>
        </w:rPr>
        <w:t>DECC</w:t>
      </w:r>
      <w:r w:rsidR="0053283C" w:rsidRPr="00D35F39">
        <w:rPr>
          <w:color w:val="000000"/>
          <w:sz w:val="20"/>
          <w:szCs w:val="20"/>
        </w:rPr>
        <w:t>, 2009.</w:t>
      </w:r>
      <w:r w:rsidRPr="00D35F39">
        <w:rPr>
          <w:color w:val="000000"/>
          <w:sz w:val="20"/>
          <w:szCs w:val="20"/>
        </w:rPr>
        <w:t xml:space="preserve"> The UK Low Carbon Transition Plan: National strategy for climate and energy. London, UK: Department for Environment and Climate Change, the Stationery Office</w:t>
      </w:r>
      <w:r w:rsidR="0053283C" w:rsidRPr="00D35F39">
        <w:rPr>
          <w:color w:val="000000"/>
          <w:sz w:val="20"/>
          <w:szCs w:val="20"/>
        </w:rPr>
        <w:t>.</w:t>
      </w:r>
    </w:p>
    <w:p w14:paraId="4843B37B" w14:textId="77777777" w:rsidR="00187008" w:rsidRPr="00D35F39" w:rsidRDefault="00187008" w:rsidP="00187008">
      <w:pPr>
        <w:spacing w:before="120" w:after="120" w:line="240" w:lineRule="auto"/>
        <w:jc w:val="left"/>
        <w:divId w:val="434059591"/>
        <w:rPr>
          <w:color w:val="000000"/>
          <w:sz w:val="20"/>
          <w:szCs w:val="20"/>
        </w:rPr>
      </w:pPr>
      <w:r w:rsidRPr="00D35F39">
        <w:rPr>
          <w:color w:val="000000"/>
          <w:sz w:val="20"/>
          <w:szCs w:val="20"/>
        </w:rPr>
        <w:t>DECC</w:t>
      </w:r>
      <w:r w:rsidR="0053283C" w:rsidRPr="00D35F39">
        <w:rPr>
          <w:color w:val="000000"/>
          <w:sz w:val="20"/>
          <w:szCs w:val="20"/>
        </w:rPr>
        <w:t>,</w:t>
      </w:r>
      <w:r w:rsidRPr="00D35F39">
        <w:rPr>
          <w:color w:val="000000"/>
          <w:sz w:val="20"/>
          <w:szCs w:val="20"/>
        </w:rPr>
        <w:t xml:space="preserve"> 2012a. The Energy Efficiency Strategy: The energy efficiency opportunity in the UK - Strategy and Annexes. London, UK: Department of Energy and Climate Change </w:t>
      </w:r>
    </w:p>
    <w:p w14:paraId="684963D3" w14:textId="77777777" w:rsidR="00884961" w:rsidRPr="00D35F39" w:rsidRDefault="00884961" w:rsidP="00094D55">
      <w:pPr>
        <w:spacing w:before="120" w:after="120" w:line="240" w:lineRule="auto"/>
        <w:jc w:val="left"/>
        <w:divId w:val="434059591"/>
        <w:rPr>
          <w:color w:val="000000"/>
          <w:sz w:val="20"/>
          <w:szCs w:val="20"/>
        </w:rPr>
      </w:pPr>
      <w:r w:rsidRPr="00D35F39">
        <w:rPr>
          <w:color w:val="000000"/>
          <w:sz w:val="20"/>
          <w:szCs w:val="20"/>
        </w:rPr>
        <w:t>DECC</w:t>
      </w:r>
      <w:r w:rsidR="0053283C" w:rsidRPr="00D35F39">
        <w:rPr>
          <w:color w:val="000000"/>
          <w:sz w:val="20"/>
          <w:szCs w:val="20"/>
        </w:rPr>
        <w:t>,</w:t>
      </w:r>
      <w:r w:rsidRPr="00D35F39">
        <w:rPr>
          <w:color w:val="000000"/>
          <w:sz w:val="20"/>
          <w:szCs w:val="20"/>
        </w:rPr>
        <w:t xml:space="preserve"> 2012</w:t>
      </w:r>
      <w:r w:rsidR="00187008" w:rsidRPr="00D35F39">
        <w:rPr>
          <w:color w:val="000000"/>
          <w:sz w:val="20"/>
          <w:szCs w:val="20"/>
        </w:rPr>
        <w:t>b</w:t>
      </w:r>
      <w:r w:rsidRPr="00D35F39">
        <w:rPr>
          <w:color w:val="000000"/>
          <w:sz w:val="20"/>
          <w:szCs w:val="20"/>
        </w:rPr>
        <w:t xml:space="preserve">. Converting English Housing Survey Data for Use in Energy Models. London, UK. </w:t>
      </w:r>
      <w:r w:rsidR="0053283C" w:rsidRPr="00D35F39">
        <w:rPr>
          <w:sz w:val="20"/>
          <w:szCs w:val="20"/>
        </w:rPr>
        <w:t>Last accessed 24</w:t>
      </w:r>
      <w:r w:rsidR="0053283C" w:rsidRPr="00D35F39">
        <w:rPr>
          <w:sz w:val="20"/>
          <w:szCs w:val="20"/>
          <w:vertAlign w:val="superscript"/>
        </w:rPr>
        <w:t>th</w:t>
      </w:r>
      <w:r w:rsidR="0053283C" w:rsidRPr="00D35F39">
        <w:rPr>
          <w:sz w:val="20"/>
          <w:szCs w:val="20"/>
        </w:rPr>
        <w:t xml:space="preserve"> September 2014 at </w:t>
      </w:r>
      <w:hyperlink r:id="rId19" w:history="1">
        <w:r w:rsidRPr="00D35F39">
          <w:rPr>
            <w:rStyle w:val="Hyperlink"/>
            <w:sz w:val="20"/>
            <w:szCs w:val="20"/>
          </w:rPr>
          <w:t>https://www.gov.uk/government/uploads/system/uploads/attachment_data/file/65995/4349-converting-english-housing-survey-data-for-use-in-.pdf</w:t>
        </w:r>
      </w:hyperlink>
    </w:p>
    <w:p w14:paraId="6287964D" w14:textId="77777777" w:rsidR="00094D55" w:rsidRPr="00D35F39" w:rsidRDefault="00094D55" w:rsidP="00094D55">
      <w:pPr>
        <w:spacing w:before="120" w:after="120" w:line="240" w:lineRule="auto"/>
        <w:jc w:val="left"/>
        <w:divId w:val="434059591"/>
        <w:rPr>
          <w:color w:val="000000"/>
          <w:sz w:val="20"/>
          <w:szCs w:val="20"/>
        </w:rPr>
      </w:pPr>
      <w:r w:rsidRPr="00D35F39">
        <w:rPr>
          <w:color w:val="000000"/>
          <w:sz w:val="20"/>
          <w:szCs w:val="20"/>
        </w:rPr>
        <w:t>DECC</w:t>
      </w:r>
      <w:r w:rsidR="00A62DD7" w:rsidRPr="00D35F39">
        <w:rPr>
          <w:color w:val="000000"/>
          <w:sz w:val="20"/>
          <w:szCs w:val="20"/>
        </w:rPr>
        <w:t>, 2013</w:t>
      </w:r>
      <w:r w:rsidRPr="00D35F39">
        <w:rPr>
          <w:color w:val="000000"/>
          <w:sz w:val="20"/>
          <w:szCs w:val="20"/>
        </w:rPr>
        <w:t xml:space="preserve"> Fuel Poverty: a Framework for Future Action. London, UK: The Stationery Office Ltd. </w:t>
      </w:r>
    </w:p>
    <w:p w14:paraId="069E0375" w14:textId="77777777" w:rsidR="00DF08F1" w:rsidRPr="00D35F39" w:rsidRDefault="00DF08F1" w:rsidP="00094D55">
      <w:pPr>
        <w:spacing w:before="120" w:after="120" w:line="240" w:lineRule="auto"/>
        <w:jc w:val="left"/>
        <w:divId w:val="434059591"/>
        <w:rPr>
          <w:color w:val="000000"/>
          <w:sz w:val="20"/>
          <w:szCs w:val="20"/>
        </w:rPr>
      </w:pPr>
      <w:r w:rsidRPr="00D35F39">
        <w:rPr>
          <w:color w:val="000000"/>
          <w:sz w:val="20"/>
          <w:szCs w:val="20"/>
        </w:rPr>
        <w:t>DECC</w:t>
      </w:r>
      <w:r w:rsidR="00A62DD7" w:rsidRPr="00D35F39">
        <w:rPr>
          <w:color w:val="000000"/>
          <w:sz w:val="20"/>
          <w:szCs w:val="20"/>
        </w:rPr>
        <w:t>,</w:t>
      </w:r>
      <w:r w:rsidRPr="00D35F39">
        <w:rPr>
          <w:color w:val="000000"/>
          <w:sz w:val="20"/>
          <w:szCs w:val="20"/>
        </w:rPr>
        <w:t xml:space="preserve"> 2014. UK National Energy Efficiency Action Plan. London, UK: Department of Energy and Climate Change.</w:t>
      </w:r>
    </w:p>
    <w:p w14:paraId="76F7602A" w14:textId="77777777" w:rsidR="00094D55" w:rsidRPr="00D35F39" w:rsidRDefault="00094D55" w:rsidP="00094D55">
      <w:pPr>
        <w:spacing w:before="120" w:after="120" w:line="240" w:lineRule="auto"/>
        <w:jc w:val="left"/>
        <w:divId w:val="434059591"/>
        <w:rPr>
          <w:bCs/>
          <w:sz w:val="20"/>
          <w:szCs w:val="20"/>
        </w:rPr>
      </w:pPr>
      <w:r w:rsidRPr="00D35F39">
        <w:rPr>
          <w:bCs/>
          <w:sz w:val="20"/>
          <w:szCs w:val="20"/>
        </w:rPr>
        <w:t>Defra</w:t>
      </w:r>
      <w:r w:rsidR="00A62DD7" w:rsidRPr="00D35F39">
        <w:rPr>
          <w:bCs/>
          <w:sz w:val="20"/>
          <w:szCs w:val="20"/>
        </w:rPr>
        <w:t>,</w:t>
      </w:r>
      <w:r w:rsidRPr="00D35F39">
        <w:rPr>
          <w:bCs/>
          <w:sz w:val="20"/>
          <w:szCs w:val="20"/>
        </w:rPr>
        <w:t xml:space="preserve"> 2013</w:t>
      </w:r>
      <w:r w:rsidR="00A62DD7" w:rsidRPr="00D35F39">
        <w:rPr>
          <w:bCs/>
          <w:sz w:val="20"/>
          <w:szCs w:val="20"/>
        </w:rPr>
        <w:t>.</w:t>
      </w:r>
      <w:r w:rsidRPr="00D35F39">
        <w:rPr>
          <w:bCs/>
          <w:sz w:val="20"/>
          <w:szCs w:val="20"/>
        </w:rPr>
        <w:t xml:space="preserve"> </w:t>
      </w:r>
      <w:r w:rsidR="00A62DD7" w:rsidRPr="00D35F39">
        <w:rPr>
          <w:bCs/>
          <w:sz w:val="20"/>
          <w:szCs w:val="20"/>
        </w:rPr>
        <w:t>Last accessed 26</w:t>
      </w:r>
      <w:r w:rsidR="00A62DD7" w:rsidRPr="00D35F39">
        <w:rPr>
          <w:bCs/>
          <w:sz w:val="20"/>
          <w:szCs w:val="20"/>
          <w:vertAlign w:val="superscript"/>
        </w:rPr>
        <w:t>th</w:t>
      </w:r>
      <w:r w:rsidR="00A62DD7" w:rsidRPr="00D35F39">
        <w:rPr>
          <w:bCs/>
          <w:sz w:val="20"/>
          <w:szCs w:val="20"/>
        </w:rPr>
        <w:t xml:space="preserve"> January 2015 at </w:t>
      </w:r>
      <w:hyperlink r:id="rId20" w:anchor="2010BackgroundMaps" w:history="1">
        <w:r w:rsidRPr="00D35F39">
          <w:rPr>
            <w:bCs/>
            <w:color w:val="0000FF"/>
            <w:sz w:val="20"/>
            <w:szCs w:val="20"/>
            <w:u w:val="single"/>
          </w:rPr>
          <w:t>http://laqm.defra.gov.uk/maps/maps2010.html#2010BackgroundMaps</w:t>
        </w:r>
      </w:hyperlink>
    </w:p>
    <w:p w14:paraId="0B312219" w14:textId="77777777" w:rsidR="000D32DD" w:rsidRDefault="000D32DD" w:rsidP="00094D55">
      <w:pPr>
        <w:spacing w:before="120" w:after="120" w:line="240" w:lineRule="auto"/>
        <w:jc w:val="left"/>
        <w:divId w:val="434059591"/>
        <w:rPr>
          <w:bCs/>
          <w:sz w:val="20"/>
          <w:szCs w:val="20"/>
        </w:rPr>
      </w:pPr>
      <w:r w:rsidRPr="000D32DD">
        <w:rPr>
          <w:bCs/>
          <w:sz w:val="20"/>
          <w:szCs w:val="20"/>
        </w:rPr>
        <w:t>Do</w:t>
      </w:r>
      <w:r>
        <w:rPr>
          <w:bCs/>
          <w:sz w:val="20"/>
          <w:szCs w:val="20"/>
        </w:rPr>
        <w:t>ll, R., Peto, R., Boreham, J.,</w:t>
      </w:r>
      <w:r w:rsidRPr="000D32DD">
        <w:rPr>
          <w:bCs/>
          <w:sz w:val="20"/>
          <w:szCs w:val="20"/>
        </w:rPr>
        <w:t xml:space="preserve"> Sutherland, I.</w:t>
      </w:r>
      <w:r>
        <w:rPr>
          <w:bCs/>
          <w:sz w:val="20"/>
          <w:szCs w:val="20"/>
        </w:rPr>
        <w:t>, 2004</w:t>
      </w:r>
      <w:r w:rsidRPr="000D32DD">
        <w:rPr>
          <w:bCs/>
          <w:sz w:val="20"/>
          <w:szCs w:val="20"/>
        </w:rPr>
        <w:t>. Mortality in relation to smoking: 50 years’ observations on male British doctors. BMJ (Clinical Research Ed.), 328(7455), 1519. doi:10.1136/bmj.38142.554479.AE</w:t>
      </w:r>
    </w:p>
    <w:p w14:paraId="76F5CFDA" w14:textId="77777777" w:rsidR="009269C6" w:rsidRDefault="009269C6" w:rsidP="00094D55">
      <w:pPr>
        <w:spacing w:before="120" w:after="120" w:line="240" w:lineRule="auto"/>
        <w:jc w:val="left"/>
        <w:divId w:val="434059591"/>
        <w:rPr>
          <w:bCs/>
          <w:sz w:val="20"/>
          <w:szCs w:val="20"/>
        </w:rPr>
      </w:pPr>
      <w:r w:rsidRPr="009269C6">
        <w:rPr>
          <w:bCs/>
          <w:sz w:val="20"/>
          <w:szCs w:val="20"/>
        </w:rPr>
        <w:lastRenderedPageBreak/>
        <w:t>DUKES</w:t>
      </w:r>
      <w:r>
        <w:rPr>
          <w:bCs/>
          <w:sz w:val="20"/>
          <w:szCs w:val="20"/>
        </w:rPr>
        <w:t>, 2011.</w:t>
      </w:r>
      <w:r w:rsidRPr="009269C6">
        <w:rPr>
          <w:bCs/>
          <w:sz w:val="20"/>
          <w:szCs w:val="20"/>
        </w:rPr>
        <w:t xml:space="preserve"> Las</w:t>
      </w:r>
      <w:r>
        <w:rPr>
          <w:bCs/>
          <w:sz w:val="20"/>
          <w:szCs w:val="20"/>
        </w:rPr>
        <w:t xml:space="preserve">t accessed 26th January 2015 </w:t>
      </w:r>
      <w:r w:rsidRPr="009269C6">
        <w:rPr>
          <w:bCs/>
          <w:sz w:val="20"/>
          <w:szCs w:val="20"/>
        </w:rPr>
        <w:t xml:space="preserve">at </w:t>
      </w:r>
      <w:hyperlink r:id="rId21" w:history="1">
        <w:r w:rsidRPr="00CB110E">
          <w:rPr>
            <w:rStyle w:val="Hyperlink"/>
            <w:bCs/>
            <w:sz w:val="20"/>
            <w:szCs w:val="20"/>
          </w:rPr>
          <w:t>https://www.gov.uk/government/collections/digest-of-uk-energy-statistics-dukes</w:t>
        </w:r>
      </w:hyperlink>
    </w:p>
    <w:p w14:paraId="4F33D5EE" w14:textId="77777777" w:rsidR="00094D55" w:rsidRPr="00D35F39" w:rsidRDefault="00094D55" w:rsidP="00094D55">
      <w:pPr>
        <w:spacing w:before="120" w:after="120" w:line="240" w:lineRule="auto"/>
        <w:jc w:val="left"/>
        <w:divId w:val="434059591"/>
        <w:rPr>
          <w:bCs/>
          <w:sz w:val="20"/>
          <w:szCs w:val="20"/>
          <w:u w:val="single"/>
        </w:rPr>
      </w:pPr>
      <w:r w:rsidRPr="00D35F39">
        <w:rPr>
          <w:bCs/>
          <w:sz w:val="20"/>
          <w:szCs w:val="20"/>
        </w:rPr>
        <w:t>EHS</w:t>
      </w:r>
      <w:r w:rsidR="00A62DD7" w:rsidRPr="00D35F39">
        <w:rPr>
          <w:bCs/>
          <w:sz w:val="20"/>
          <w:szCs w:val="20"/>
        </w:rPr>
        <w:t>,</w:t>
      </w:r>
      <w:r w:rsidRPr="00D35F39">
        <w:rPr>
          <w:bCs/>
          <w:sz w:val="20"/>
          <w:szCs w:val="20"/>
        </w:rPr>
        <w:t xml:space="preserve"> 2012</w:t>
      </w:r>
      <w:r w:rsidR="00A62DD7" w:rsidRPr="00D35F39">
        <w:rPr>
          <w:bCs/>
          <w:sz w:val="20"/>
          <w:szCs w:val="20"/>
        </w:rPr>
        <w:t>.</w:t>
      </w:r>
      <w:r w:rsidRPr="00D35F39">
        <w:rPr>
          <w:bCs/>
          <w:sz w:val="20"/>
          <w:szCs w:val="20"/>
        </w:rPr>
        <w:t xml:space="preserve"> English Housing Survey. </w:t>
      </w:r>
      <w:r w:rsidR="00A62DD7" w:rsidRPr="00D35F39">
        <w:rPr>
          <w:bCs/>
          <w:sz w:val="20"/>
          <w:szCs w:val="20"/>
        </w:rPr>
        <w:t>Last accessed 26</w:t>
      </w:r>
      <w:r w:rsidR="00A62DD7" w:rsidRPr="00D35F39">
        <w:rPr>
          <w:bCs/>
          <w:sz w:val="20"/>
          <w:szCs w:val="20"/>
          <w:vertAlign w:val="superscript"/>
        </w:rPr>
        <w:t>th</w:t>
      </w:r>
      <w:r w:rsidR="00A62DD7" w:rsidRPr="00D35F39">
        <w:rPr>
          <w:bCs/>
          <w:sz w:val="20"/>
          <w:szCs w:val="20"/>
        </w:rPr>
        <w:t xml:space="preserve"> January 2015 at </w:t>
      </w:r>
      <w:r w:rsidRPr="00D35F39">
        <w:rPr>
          <w:bCs/>
          <w:color w:val="0000FF"/>
          <w:sz w:val="20"/>
          <w:szCs w:val="20"/>
          <w:u w:val="single"/>
        </w:rPr>
        <w:t>https://www.gov.uk/government/publications/english-housing-survey-headline-report-2010-to-2011</w:t>
      </w:r>
    </w:p>
    <w:p w14:paraId="12A2EF7E" w14:textId="77777777" w:rsidR="00094D55" w:rsidRPr="00D35F39" w:rsidRDefault="00094D55" w:rsidP="00094D55">
      <w:pPr>
        <w:spacing w:before="120" w:after="120" w:line="240" w:lineRule="auto"/>
        <w:jc w:val="left"/>
        <w:divId w:val="434059591"/>
        <w:rPr>
          <w:sz w:val="20"/>
          <w:szCs w:val="20"/>
        </w:rPr>
      </w:pPr>
      <w:r w:rsidRPr="00D35F39">
        <w:rPr>
          <w:iCs/>
          <w:sz w:val="20"/>
          <w:szCs w:val="20"/>
        </w:rPr>
        <w:t>Emmerich, S.</w:t>
      </w:r>
      <w:r w:rsidR="00A62DD7" w:rsidRPr="00D35F39">
        <w:rPr>
          <w:iCs/>
          <w:sz w:val="20"/>
          <w:szCs w:val="20"/>
        </w:rPr>
        <w:t xml:space="preserve"> </w:t>
      </w:r>
      <w:r w:rsidRPr="00D35F39">
        <w:rPr>
          <w:iCs/>
          <w:sz w:val="20"/>
          <w:szCs w:val="20"/>
        </w:rPr>
        <w:t>J.</w:t>
      </w:r>
      <w:r w:rsidR="00A62DD7" w:rsidRPr="00D35F39">
        <w:rPr>
          <w:iCs/>
          <w:sz w:val="20"/>
          <w:szCs w:val="20"/>
        </w:rPr>
        <w:t>,</w:t>
      </w:r>
      <w:r w:rsidRPr="00D35F39">
        <w:rPr>
          <w:iCs/>
          <w:sz w:val="20"/>
          <w:szCs w:val="20"/>
        </w:rPr>
        <w:t xml:space="preserve"> 2001</w:t>
      </w:r>
      <w:r w:rsidR="00A62DD7" w:rsidRPr="00D35F39">
        <w:rPr>
          <w:iCs/>
          <w:sz w:val="20"/>
          <w:szCs w:val="20"/>
        </w:rPr>
        <w:t>.</w:t>
      </w:r>
      <w:r w:rsidRPr="00D35F39">
        <w:rPr>
          <w:iCs/>
          <w:sz w:val="20"/>
          <w:szCs w:val="20"/>
        </w:rPr>
        <w:t xml:space="preserve"> Validation of Multizone IAQ Modelling of Residential-Scale Buildings: A Review</w:t>
      </w:r>
      <w:r w:rsidRPr="00D35F39">
        <w:rPr>
          <w:i/>
          <w:sz w:val="20"/>
          <w:szCs w:val="20"/>
        </w:rPr>
        <w:t xml:space="preserve">, </w:t>
      </w:r>
      <w:r w:rsidRPr="00D35F39">
        <w:rPr>
          <w:sz w:val="20"/>
          <w:szCs w:val="20"/>
        </w:rPr>
        <w:t>National Institute of Standards and Technology, Gaithersburg, MD. ASHRAE Transactions, 107, Pt. 2, CI-01-8-1; Last accessed 29</w:t>
      </w:r>
      <w:r w:rsidRPr="00D35F39">
        <w:rPr>
          <w:sz w:val="20"/>
          <w:szCs w:val="20"/>
          <w:vertAlign w:val="superscript"/>
        </w:rPr>
        <w:t>th</w:t>
      </w:r>
      <w:r w:rsidRPr="00D35F39">
        <w:rPr>
          <w:sz w:val="20"/>
          <w:szCs w:val="20"/>
        </w:rPr>
        <w:t xml:space="preserve"> </w:t>
      </w:r>
      <w:r w:rsidR="00A62DD7" w:rsidRPr="00D35F39">
        <w:rPr>
          <w:sz w:val="20"/>
          <w:szCs w:val="20"/>
        </w:rPr>
        <w:t>December 2014</w:t>
      </w:r>
      <w:r w:rsidRPr="00D35F39">
        <w:rPr>
          <w:sz w:val="20"/>
          <w:szCs w:val="20"/>
        </w:rPr>
        <w:t xml:space="preserve"> at </w:t>
      </w:r>
      <w:hyperlink r:id="rId22" w:history="1">
        <w:r w:rsidRPr="00D35F39">
          <w:rPr>
            <w:color w:val="0000FF"/>
            <w:sz w:val="20"/>
            <w:szCs w:val="20"/>
            <w:u w:val="single"/>
          </w:rPr>
          <w:t>http://www.bfrl.nist.gov/IAQanalysis/docs/valfinal.pdf</w:t>
        </w:r>
      </w:hyperlink>
    </w:p>
    <w:p w14:paraId="0FCA7B0F" w14:textId="77777777" w:rsidR="00094D55" w:rsidRPr="00D35F39" w:rsidRDefault="00094D55" w:rsidP="00094D55">
      <w:pPr>
        <w:spacing w:before="120" w:after="120" w:line="240" w:lineRule="auto"/>
        <w:jc w:val="left"/>
        <w:divId w:val="434059591"/>
        <w:rPr>
          <w:color w:val="000000" w:themeColor="text1"/>
          <w:sz w:val="20"/>
          <w:szCs w:val="20"/>
        </w:rPr>
      </w:pPr>
      <w:r w:rsidRPr="00D35F39">
        <w:rPr>
          <w:color w:val="000000" w:themeColor="text1"/>
          <w:sz w:val="20"/>
          <w:szCs w:val="20"/>
        </w:rPr>
        <w:t>EU</w:t>
      </w:r>
      <w:r w:rsidR="00A62DD7" w:rsidRPr="00D35F39">
        <w:rPr>
          <w:color w:val="000000" w:themeColor="text1"/>
          <w:sz w:val="20"/>
          <w:szCs w:val="20"/>
        </w:rPr>
        <w:t>, 2011a.</w:t>
      </w:r>
      <w:r w:rsidRPr="00D35F39">
        <w:rPr>
          <w:color w:val="000000" w:themeColor="text1"/>
          <w:sz w:val="20"/>
          <w:szCs w:val="20"/>
        </w:rPr>
        <w:t xml:space="preserve"> European Commission. Energy Efficiency Plan 2011. Brussels, Belgium: European Commission </w:t>
      </w:r>
    </w:p>
    <w:p w14:paraId="65DFB076" w14:textId="77777777" w:rsidR="00094D55" w:rsidRPr="00D35F39" w:rsidRDefault="00094D55" w:rsidP="00094D55">
      <w:pPr>
        <w:spacing w:before="120" w:after="120" w:line="240" w:lineRule="auto"/>
        <w:jc w:val="left"/>
        <w:divId w:val="434059591"/>
        <w:rPr>
          <w:color w:val="000000"/>
          <w:sz w:val="20"/>
          <w:szCs w:val="20"/>
        </w:rPr>
      </w:pPr>
      <w:r w:rsidRPr="00D35F39">
        <w:rPr>
          <w:color w:val="000000"/>
          <w:sz w:val="20"/>
          <w:szCs w:val="20"/>
        </w:rPr>
        <w:t>EU</w:t>
      </w:r>
      <w:r w:rsidR="00A62DD7" w:rsidRPr="00D35F39">
        <w:rPr>
          <w:color w:val="000000"/>
          <w:sz w:val="20"/>
          <w:szCs w:val="20"/>
        </w:rPr>
        <w:t>,</w:t>
      </w:r>
      <w:r w:rsidRPr="00D35F39">
        <w:rPr>
          <w:color w:val="000000"/>
          <w:sz w:val="20"/>
          <w:szCs w:val="20"/>
        </w:rPr>
        <w:t xml:space="preserve"> 2011b. European Commission. A Roadmap for moving to a competitive low carbon economy in 2050. Brussels, Belgium: European Commission.</w:t>
      </w:r>
    </w:p>
    <w:p w14:paraId="518179AE" w14:textId="01727526" w:rsidR="00094D55" w:rsidRPr="00D35F39" w:rsidRDefault="00094D55" w:rsidP="00094D55">
      <w:pPr>
        <w:spacing w:before="120" w:after="120" w:line="240" w:lineRule="auto"/>
        <w:jc w:val="left"/>
        <w:divId w:val="434059591"/>
        <w:rPr>
          <w:sz w:val="20"/>
          <w:szCs w:val="20"/>
        </w:rPr>
      </w:pPr>
      <w:r w:rsidRPr="00D35F39">
        <w:rPr>
          <w:sz w:val="20"/>
          <w:szCs w:val="20"/>
        </w:rPr>
        <w:t>Fang, J. B.</w:t>
      </w:r>
      <w:r w:rsidR="00A62DD7" w:rsidRPr="00D35F39">
        <w:rPr>
          <w:sz w:val="20"/>
          <w:szCs w:val="20"/>
        </w:rPr>
        <w:t>,</w:t>
      </w:r>
      <w:r w:rsidRPr="00D35F39">
        <w:rPr>
          <w:sz w:val="20"/>
          <w:szCs w:val="20"/>
        </w:rPr>
        <w:t xml:space="preserve"> Persily, A. K.</w:t>
      </w:r>
      <w:r w:rsidR="00A62DD7" w:rsidRPr="00D35F39">
        <w:rPr>
          <w:sz w:val="20"/>
          <w:szCs w:val="20"/>
        </w:rPr>
        <w:t>,</w:t>
      </w:r>
      <w:r w:rsidRPr="00D35F39">
        <w:rPr>
          <w:sz w:val="20"/>
          <w:szCs w:val="20"/>
        </w:rPr>
        <w:t xml:space="preserve"> 1995</w:t>
      </w:r>
      <w:r w:rsidR="00D17067">
        <w:rPr>
          <w:sz w:val="20"/>
          <w:szCs w:val="20"/>
        </w:rPr>
        <w:t>.</w:t>
      </w:r>
      <w:r w:rsidRPr="00D35F39">
        <w:rPr>
          <w:sz w:val="20"/>
          <w:szCs w:val="20"/>
        </w:rPr>
        <w:t xml:space="preserve"> Computer Simulations of Airflow and Radon</w:t>
      </w:r>
    </w:p>
    <w:p w14:paraId="1C385491" w14:textId="77777777" w:rsidR="00094D55" w:rsidRPr="00D35F39" w:rsidRDefault="00094D55" w:rsidP="00094D55">
      <w:pPr>
        <w:spacing w:before="120" w:after="120" w:line="240" w:lineRule="auto"/>
        <w:jc w:val="left"/>
        <w:divId w:val="434059591"/>
        <w:rPr>
          <w:sz w:val="20"/>
          <w:szCs w:val="20"/>
        </w:rPr>
      </w:pPr>
      <w:r w:rsidRPr="00D35F39">
        <w:rPr>
          <w:sz w:val="20"/>
          <w:szCs w:val="20"/>
        </w:rPr>
        <w:t>Gilbertson</w:t>
      </w:r>
      <w:r w:rsidR="00A62DD7" w:rsidRPr="00D35F39">
        <w:rPr>
          <w:sz w:val="20"/>
          <w:szCs w:val="20"/>
        </w:rPr>
        <w:t>,</w:t>
      </w:r>
      <w:r w:rsidRPr="00D35F39">
        <w:rPr>
          <w:sz w:val="20"/>
          <w:szCs w:val="20"/>
        </w:rPr>
        <w:t xml:space="preserve"> J</w:t>
      </w:r>
      <w:r w:rsidR="00A62DD7" w:rsidRPr="00D35F39">
        <w:rPr>
          <w:sz w:val="20"/>
          <w:szCs w:val="20"/>
        </w:rPr>
        <w:t>.</w:t>
      </w:r>
      <w:r w:rsidRPr="00D35F39">
        <w:rPr>
          <w:sz w:val="20"/>
          <w:szCs w:val="20"/>
        </w:rPr>
        <w:t>, Grimsley</w:t>
      </w:r>
      <w:r w:rsidR="00A62DD7" w:rsidRPr="00D35F39">
        <w:rPr>
          <w:sz w:val="20"/>
          <w:szCs w:val="20"/>
        </w:rPr>
        <w:t>,</w:t>
      </w:r>
      <w:r w:rsidRPr="00D35F39">
        <w:rPr>
          <w:sz w:val="20"/>
          <w:szCs w:val="20"/>
        </w:rPr>
        <w:t xml:space="preserve"> M</w:t>
      </w:r>
      <w:r w:rsidR="00A62DD7" w:rsidRPr="00D35F39">
        <w:rPr>
          <w:sz w:val="20"/>
          <w:szCs w:val="20"/>
        </w:rPr>
        <w:t>.</w:t>
      </w:r>
      <w:r w:rsidRPr="00D35F39">
        <w:rPr>
          <w:sz w:val="20"/>
          <w:szCs w:val="20"/>
        </w:rPr>
        <w:t>, Green</w:t>
      </w:r>
      <w:r w:rsidR="00A62DD7" w:rsidRPr="00D35F39">
        <w:rPr>
          <w:sz w:val="20"/>
          <w:szCs w:val="20"/>
        </w:rPr>
        <w:t>,</w:t>
      </w:r>
      <w:r w:rsidRPr="00D35F39">
        <w:rPr>
          <w:sz w:val="20"/>
          <w:szCs w:val="20"/>
        </w:rPr>
        <w:t xml:space="preserve"> G.</w:t>
      </w:r>
      <w:r w:rsidR="00A62DD7" w:rsidRPr="00D35F39">
        <w:rPr>
          <w:sz w:val="20"/>
          <w:szCs w:val="20"/>
        </w:rPr>
        <w:t>, 2012.</w:t>
      </w:r>
      <w:r w:rsidRPr="00D35F39">
        <w:rPr>
          <w:sz w:val="20"/>
          <w:szCs w:val="20"/>
        </w:rPr>
        <w:t xml:space="preserve"> Psychosocial routes from housing investment to health: evidence from England’s home energy efficiency scheme. Energy Policy; 49: 122–33.</w:t>
      </w:r>
    </w:p>
    <w:p w14:paraId="381111EC" w14:textId="77777777" w:rsidR="009269C6" w:rsidRDefault="009269C6" w:rsidP="00094D55">
      <w:pPr>
        <w:spacing w:before="120" w:after="120" w:line="240" w:lineRule="auto"/>
        <w:jc w:val="left"/>
        <w:divId w:val="434059591"/>
        <w:rPr>
          <w:color w:val="000000"/>
          <w:sz w:val="20"/>
          <w:szCs w:val="20"/>
        </w:rPr>
      </w:pPr>
      <w:r w:rsidRPr="009269C6">
        <w:rPr>
          <w:color w:val="000000"/>
          <w:sz w:val="20"/>
          <w:szCs w:val="20"/>
        </w:rPr>
        <w:t>GLA</w:t>
      </w:r>
      <w:r>
        <w:rPr>
          <w:color w:val="000000"/>
          <w:sz w:val="20"/>
          <w:szCs w:val="20"/>
        </w:rPr>
        <w:t>, 2010.</w:t>
      </w:r>
      <w:r w:rsidRPr="009269C6">
        <w:rPr>
          <w:color w:val="000000"/>
          <w:sz w:val="20"/>
          <w:szCs w:val="20"/>
        </w:rPr>
        <w:t xml:space="preserve"> The London Plan. Greater London Authority, London.</w:t>
      </w:r>
    </w:p>
    <w:p w14:paraId="01E95D02" w14:textId="77777777" w:rsidR="00094D55" w:rsidRPr="00D35F39" w:rsidRDefault="00094D55" w:rsidP="00094D55">
      <w:pPr>
        <w:spacing w:before="120" w:after="120" w:line="240" w:lineRule="auto"/>
        <w:jc w:val="left"/>
        <w:divId w:val="434059591"/>
        <w:rPr>
          <w:color w:val="000000"/>
          <w:sz w:val="20"/>
          <w:szCs w:val="20"/>
        </w:rPr>
      </w:pPr>
      <w:r w:rsidRPr="00D35F39">
        <w:rPr>
          <w:color w:val="000000"/>
          <w:sz w:val="20"/>
          <w:szCs w:val="20"/>
        </w:rPr>
        <w:t>Godish, T.</w:t>
      </w:r>
      <w:r w:rsidR="00A62DD7" w:rsidRPr="00D35F39">
        <w:rPr>
          <w:color w:val="000000"/>
          <w:sz w:val="20"/>
          <w:szCs w:val="20"/>
        </w:rPr>
        <w:t>,</w:t>
      </w:r>
      <w:r w:rsidRPr="00D35F39">
        <w:rPr>
          <w:color w:val="000000"/>
          <w:sz w:val="20"/>
          <w:szCs w:val="20"/>
        </w:rPr>
        <w:t xml:space="preserve"> Spengler, J.D.</w:t>
      </w:r>
      <w:r w:rsidR="00A62DD7" w:rsidRPr="00D35F39">
        <w:rPr>
          <w:color w:val="000000"/>
          <w:sz w:val="20"/>
          <w:szCs w:val="20"/>
        </w:rPr>
        <w:t>,</w:t>
      </w:r>
      <w:r w:rsidRPr="00D35F39">
        <w:rPr>
          <w:color w:val="000000"/>
          <w:sz w:val="20"/>
          <w:szCs w:val="20"/>
        </w:rPr>
        <w:t xml:space="preserve"> 2004. Relationships between ventilation and indoor air quality: a review. Indoor Air 6 (2), 135-145.</w:t>
      </w:r>
    </w:p>
    <w:p w14:paraId="70A1DA22" w14:textId="77777777" w:rsidR="00094D55" w:rsidRPr="00D35F39" w:rsidRDefault="00094D55" w:rsidP="00094D55">
      <w:pPr>
        <w:spacing w:before="120" w:after="120" w:line="240" w:lineRule="auto"/>
        <w:jc w:val="left"/>
        <w:divId w:val="434059591"/>
        <w:rPr>
          <w:sz w:val="20"/>
          <w:szCs w:val="20"/>
        </w:rPr>
      </w:pPr>
      <w:r w:rsidRPr="00D35F39">
        <w:rPr>
          <w:sz w:val="20"/>
          <w:szCs w:val="20"/>
        </w:rPr>
        <w:t>Gray, A., Read, S., McGale, P.</w:t>
      </w:r>
      <w:r w:rsidR="002E6809" w:rsidRPr="00D35F39">
        <w:rPr>
          <w:sz w:val="20"/>
          <w:szCs w:val="20"/>
        </w:rPr>
        <w:t>, Darby</w:t>
      </w:r>
      <w:r w:rsidRPr="00D35F39">
        <w:rPr>
          <w:sz w:val="20"/>
          <w:szCs w:val="20"/>
        </w:rPr>
        <w:t>, S.</w:t>
      </w:r>
      <w:r w:rsidR="00A62DD7" w:rsidRPr="00D35F39">
        <w:rPr>
          <w:sz w:val="20"/>
          <w:szCs w:val="20"/>
        </w:rPr>
        <w:t>,</w:t>
      </w:r>
      <w:r w:rsidRPr="00D35F39">
        <w:rPr>
          <w:sz w:val="20"/>
          <w:szCs w:val="20"/>
        </w:rPr>
        <w:t xml:space="preserve"> 2009</w:t>
      </w:r>
      <w:r w:rsidR="00A62DD7" w:rsidRPr="00D35F39">
        <w:rPr>
          <w:sz w:val="20"/>
          <w:szCs w:val="20"/>
        </w:rPr>
        <w:t>.</w:t>
      </w:r>
      <w:r w:rsidRPr="00D35F39">
        <w:rPr>
          <w:sz w:val="20"/>
          <w:szCs w:val="20"/>
        </w:rPr>
        <w:t xml:space="preserve"> Lung cancer deaths from indoor radon and the cost effectiveness and potential of policies to reduce them. BMJ; 338:a3110 doi:10.1136/bmj.a3110.</w:t>
      </w:r>
    </w:p>
    <w:p w14:paraId="0C3A4457" w14:textId="77777777" w:rsidR="00356F43" w:rsidRPr="00D35F39" w:rsidRDefault="00356F43" w:rsidP="00094D55">
      <w:pPr>
        <w:spacing w:before="120" w:after="120" w:line="240" w:lineRule="auto"/>
        <w:jc w:val="left"/>
        <w:divId w:val="434059591"/>
        <w:rPr>
          <w:sz w:val="20"/>
          <w:szCs w:val="20"/>
        </w:rPr>
      </w:pPr>
      <w:r w:rsidRPr="00D35F39">
        <w:rPr>
          <w:sz w:val="20"/>
          <w:szCs w:val="20"/>
        </w:rPr>
        <w:t>Hamilton, I.G., Davies, M., Ridley, I., Oreszczyn, T., Barrett, M., Lowe, R., Wilkinson, P.</w:t>
      </w:r>
      <w:r w:rsidR="00A62DD7" w:rsidRPr="00D35F39">
        <w:rPr>
          <w:sz w:val="20"/>
          <w:szCs w:val="20"/>
        </w:rPr>
        <w:t>,</w:t>
      </w:r>
      <w:r w:rsidRPr="00D35F39">
        <w:rPr>
          <w:sz w:val="20"/>
          <w:szCs w:val="20"/>
        </w:rPr>
        <w:t xml:space="preserve"> Chalabi, Z.</w:t>
      </w:r>
      <w:r w:rsidR="00A62DD7" w:rsidRPr="00D35F39">
        <w:rPr>
          <w:sz w:val="20"/>
          <w:szCs w:val="20"/>
        </w:rPr>
        <w:t>,</w:t>
      </w:r>
      <w:r w:rsidRPr="00D35F39">
        <w:rPr>
          <w:sz w:val="20"/>
          <w:szCs w:val="20"/>
        </w:rPr>
        <w:t xml:space="preserve"> 2009. The impact of housing energy efficiency improvements on reduced exposure to cold – the ‘temperature take back factor’. Building Services Engineering Research and Technology, 32:85</w:t>
      </w:r>
      <w:r w:rsidR="008F394E">
        <w:rPr>
          <w:sz w:val="20"/>
          <w:szCs w:val="20"/>
        </w:rPr>
        <w:t>D</w:t>
      </w:r>
      <w:r w:rsidRPr="00D35F39">
        <w:rPr>
          <w:sz w:val="20"/>
          <w:szCs w:val="20"/>
        </w:rPr>
        <w:t>: 10.1177/0143624410394532</w:t>
      </w:r>
    </w:p>
    <w:p w14:paraId="325C7D12" w14:textId="11A69BD0" w:rsidR="00906942" w:rsidRPr="00D35F39" w:rsidRDefault="00906942" w:rsidP="00094D55">
      <w:pPr>
        <w:spacing w:before="120" w:after="120" w:line="240" w:lineRule="auto"/>
        <w:jc w:val="left"/>
        <w:divId w:val="434059591"/>
        <w:rPr>
          <w:sz w:val="20"/>
          <w:szCs w:val="20"/>
        </w:rPr>
      </w:pPr>
      <w:r w:rsidRPr="00906942">
        <w:rPr>
          <w:sz w:val="20"/>
          <w:szCs w:val="20"/>
        </w:rPr>
        <w:t>Hamilton, I.G., Milner, J., Chalabi, Z., Das, P., Jones, B., Shrubsole</w:t>
      </w:r>
      <w:r>
        <w:rPr>
          <w:sz w:val="20"/>
          <w:szCs w:val="20"/>
        </w:rPr>
        <w:t>, C., Ridley, I., Davies, M.,</w:t>
      </w:r>
      <w:r w:rsidRPr="00906942">
        <w:rPr>
          <w:sz w:val="20"/>
          <w:szCs w:val="20"/>
        </w:rPr>
        <w:t xml:space="preserve"> Wilkinson, P.</w:t>
      </w:r>
      <w:r>
        <w:rPr>
          <w:sz w:val="20"/>
          <w:szCs w:val="20"/>
        </w:rPr>
        <w:t>,</w:t>
      </w:r>
      <w:r w:rsidRPr="00906942">
        <w:rPr>
          <w:sz w:val="20"/>
          <w:szCs w:val="20"/>
        </w:rPr>
        <w:t xml:space="preserve"> </w:t>
      </w:r>
      <w:r>
        <w:rPr>
          <w:sz w:val="20"/>
          <w:szCs w:val="20"/>
        </w:rPr>
        <w:t xml:space="preserve">2015. </w:t>
      </w:r>
      <w:r w:rsidRPr="00906942">
        <w:rPr>
          <w:sz w:val="20"/>
          <w:szCs w:val="20"/>
        </w:rPr>
        <w:t>Health effects of energy efficiency interventions in England: a modelling study. BMJ Open</w:t>
      </w:r>
      <w:r w:rsidR="00D17067">
        <w:rPr>
          <w:sz w:val="20"/>
          <w:szCs w:val="20"/>
        </w:rPr>
        <w:t xml:space="preserve"> </w:t>
      </w:r>
      <w:r w:rsidR="00D17067" w:rsidRPr="00D17067">
        <w:rPr>
          <w:sz w:val="20"/>
          <w:szCs w:val="20"/>
        </w:rPr>
        <w:t>2015;</w:t>
      </w:r>
      <w:r w:rsidR="00C31A4F">
        <w:rPr>
          <w:sz w:val="20"/>
          <w:szCs w:val="20"/>
        </w:rPr>
        <w:t xml:space="preserve"> </w:t>
      </w:r>
      <w:r w:rsidR="00D17067" w:rsidRPr="00D17067">
        <w:rPr>
          <w:sz w:val="20"/>
          <w:szCs w:val="20"/>
        </w:rPr>
        <w:t>5:</w:t>
      </w:r>
      <w:r w:rsidR="00C31A4F">
        <w:rPr>
          <w:sz w:val="20"/>
          <w:szCs w:val="20"/>
        </w:rPr>
        <w:t xml:space="preserve"> </w:t>
      </w:r>
      <w:r w:rsidR="00C31A4F" w:rsidRPr="00D17067">
        <w:rPr>
          <w:sz w:val="20"/>
          <w:szCs w:val="20"/>
        </w:rPr>
        <w:t>e007298 doi:10.1136</w:t>
      </w:r>
      <w:r w:rsidR="00D17067" w:rsidRPr="00D17067">
        <w:rPr>
          <w:sz w:val="20"/>
          <w:szCs w:val="20"/>
        </w:rPr>
        <w:t>/bmjopen-2014-007298</w:t>
      </w:r>
      <w:r w:rsidRPr="00906942">
        <w:rPr>
          <w:sz w:val="20"/>
          <w:szCs w:val="20"/>
        </w:rPr>
        <w:t>.</w:t>
      </w:r>
      <w:r w:rsidR="008B4D39" w:rsidRPr="00906942">
        <w:rPr>
          <w:sz w:val="20"/>
          <w:szCs w:val="20"/>
        </w:rPr>
        <w:t xml:space="preserve"> </w:t>
      </w:r>
      <w:r w:rsidRPr="00906942">
        <w:rPr>
          <w:sz w:val="20"/>
          <w:szCs w:val="20"/>
        </w:rPr>
        <w:t xml:space="preserve">                                                                                                   </w:t>
      </w:r>
    </w:p>
    <w:p w14:paraId="2136EF9C" w14:textId="77777777" w:rsidR="00094D55" w:rsidRPr="00D35F39" w:rsidRDefault="00094D55" w:rsidP="00094D55">
      <w:pPr>
        <w:spacing w:before="120" w:after="120" w:line="240" w:lineRule="auto"/>
        <w:jc w:val="left"/>
        <w:divId w:val="434059591"/>
        <w:rPr>
          <w:sz w:val="20"/>
          <w:szCs w:val="20"/>
        </w:rPr>
      </w:pPr>
      <w:r w:rsidRPr="00D35F39">
        <w:rPr>
          <w:sz w:val="20"/>
          <w:szCs w:val="20"/>
        </w:rPr>
        <w:t>He, C., Morawska, L., Hitchins, J.</w:t>
      </w:r>
      <w:r w:rsidR="00A62DD7" w:rsidRPr="00D35F39">
        <w:rPr>
          <w:sz w:val="20"/>
          <w:szCs w:val="20"/>
        </w:rPr>
        <w:t>,</w:t>
      </w:r>
      <w:r w:rsidRPr="00D35F39">
        <w:rPr>
          <w:sz w:val="20"/>
          <w:szCs w:val="20"/>
        </w:rPr>
        <w:t xml:space="preserve"> Gilbert, D.</w:t>
      </w:r>
      <w:r w:rsidR="00A62DD7" w:rsidRPr="00D35F39">
        <w:rPr>
          <w:sz w:val="20"/>
          <w:szCs w:val="20"/>
        </w:rPr>
        <w:t>,</w:t>
      </w:r>
      <w:r w:rsidRPr="00D35F39">
        <w:rPr>
          <w:sz w:val="20"/>
          <w:szCs w:val="20"/>
        </w:rPr>
        <w:t xml:space="preserve"> 2004</w:t>
      </w:r>
      <w:r w:rsidR="00A62DD7" w:rsidRPr="00D35F39">
        <w:rPr>
          <w:sz w:val="20"/>
          <w:szCs w:val="20"/>
        </w:rPr>
        <w:t>.</w:t>
      </w:r>
      <w:r w:rsidRPr="00D35F39">
        <w:rPr>
          <w:sz w:val="20"/>
          <w:szCs w:val="20"/>
        </w:rPr>
        <w:t xml:space="preserve"> Contribution from indoor sources to particle number and mass concentrations in residential houses, Atmospheric Environment 38, 3405–3415.</w:t>
      </w:r>
    </w:p>
    <w:p w14:paraId="539305DE" w14:textId="77777777" w:rsidR="00386D8D" w:rsidRDefault="00386D8D" w:rsidP="00094D55">
      <w:pPr>
        <w:spacing w:before="120" w:after="120" w:line="240" w:lineRule="auto"/>
        <w:jc w:val="left"/>
        <w:divId w:val="434059591"/>
        <w:rPr>
          <w:sz w:val="20"/>
          <w:szCs w:val="20"/>
        </w:rPr>
      </w:pPr>
      <w:r w:rsidRPr="00386D8D">
        <w:rPr>
          <w:sz w:val="20"/>
          <w:szCs w:val="20"/>
        </w:rPr>
        <w:t>HECA</w:t>
      </w:r>
      <w:r>
        <w:rPr>
          <w:sz w:val="20"/>
          <w:szCs w:val="20"/>
        </w:rPr>
        <w:t>, 2013.</w:t>
      </w:r>
      <w:r w:rsidRPr="00386D8D">
        <w:rPr>
          <w:sz w:val="20"/>
          <w:szCs w:val="20"/>
        </w:rPr>
        <w:t xml:space="preserve"> Home Energy Conservation Act-further report final version Milton Keynes. </w:t>
      </w:r>
      <w:r>
        <w:rPr>
          <w:sz w:val="20"/>
          <w:szCs w:val="20"/>
        </w:rPr>
        <w:t>Last accessed 10</w:t>
      </w:r>
      <w:r w:rsidRPr="00386D8D">
        <w:rPr>
          <w:sz w:val="20"/>
          <w:szCs w:val="20"/>
          <w:vertAlign w:val="superscript"/>
        </w:rPr>
        <w:t>th</w:t>
      </w:r>
      <w:r>
        <w:rPr>
          <w:sz w:val="20"/>
          <w:szCs w:val="20"/>
        </w:rPr>
        <w:t xml:space="preserve"> February 2015</w:t>
      </w:r>
      <w:r w:rsidRPr="00386D8D">
        <w:rPr>
          <w:sz w:val="20"/>
          <w:szCs w:val="20"/>
        </w:rPr>
        <w:t xml:space="preserve"> at http:// </w:t>
      </w:r>
      <w:hyperlink w:history="1">
        <w:r w:rsidRPr="00CB110E">
          <w:rPr>
            <w:rStyle w:val="Hyperlink"/>
            <w:sz w:val="20"/>
            <w:szCs w:val="20"/>
          </w:rPr>
          <w:t>www.milton-keynes.gov.uk%2Fassets%2Fattach%2</w:t>
        </w:r>
        <w:r w:rsidR="009160E4">
          <w:rPr>
            <w:rStyle w:val="Hyperlink"/>
            <w:sz w:val="20"/>
            <w:szCs w:val="20"/>
          </w:rPr>
          <w:t>g</w:t>
        </w:r>
        <w:r w:rsidRPr="00CB110E">
          <w:rPr>
            <w:rStyle w:val="Hyperlink"/>
            <w:sz w:val="20"/>
            <w:szCs w:val="20"/>
          </w:rPr>
          <w:t>F13930%2FHECA_Further_Report_Final_Version_March_18.pdf&amp;ei=YirVUoOMFImshQemz4AI&amp;usg=AFQjCNEd2YTVHWRGvN0LzEvj4QQiab1xew</w:t>
        </w:r>
      </w:hyperlink>
    </w:p>
    <w:p w14:paraId="4A54F974" w14:textId="77777777" w:rsidR="00094D55" w:rsidRPr="00D35F39" w:rsidRDefault="00AF2659" w:rsidP="00094D55">
      <w:pPr>
        <w:spacing w:before="120" w:after="120" w:line="240" w:lineRule="auto"/>
        <w:jc w:val="left"/>
        <w:divId w:val="434059591"/>
        <w:rPr>
          <w:sz w:val="20"/>
          <w:szCs w:val="20"/>
        </w:rPr>
      </w:pPr>
      <w:r w:rsidRPr="00D35F39">
        <w:rPr>
          <w:sz w:val="20"/>
          <w:szCs w:val="20"/>
        </w:rPr>
        <w:t>HEED</w:t>
      </w:r>
      <w:r w:rsidR="00A62DD7" w:rsidRPr="00D35F39">
        <w:rPr>
          <w:sz w:val="20"/>
          <w:szCs w:val="20"/>
        </w:rPr>
        <w:t>,</w:t>
      </w:r>
      <w:r w:rsidRPr="00D35F39">
        <w:rPr>
          <w:sz w:val="20"/>
          <w:szCs w:val="20"/>
        </w:rPr>
        <w:t xml:space="preserve"> 2014 Homes Energy Efficiency Database. </w:t>
      </w:r>
      <w:r w:rsidR="0041274D" w:rsidRPr="00D35F39">
        <w:rPr>
          <w:sz w:val="20"/>
          <w:szCs w:val="20"/>
        </w:rPr>
        <w:t>Last accessed 29</w:t>
      </w:r>
      <w:r w:rsidR="0041274D" w:rsidRPr="00D35F39">
        <w:rPr>
          <w:sz w:val="20"/>
          <w:szCs w:val="20"/>
          <w:vertAlign w:val="superscript"/>
        </w:rPr>
        <w:t>th</w:t>
      </w:r>
      <w:r w:rsidR="0041274D" w:rsidRPr="00D35F39">
        <w:rPr>
          <w:sz w:val="20"/>
          <w:szCs w:val="20"/>
        </w:rPr>
        <w:t xml:space="preserve"> December 2014 at </w:t>
      </w:r>
      <w:hyperlink r:id="rId23" w:history="1">
        <w:r w:rsidRPr="00D35F39">
          <w:rPr>
            <w:rStyle w:val="Hyperlink"/>
            <w:sz w:val="20"/>
            <w:szCs w:val="20"/>
          </w:rPr>
          <w:t>http://www.energysavingtrust.org.uk/Organisations/Government-and-local-programmes/Programmes-we-deliver/Homes-Energy-Efficiency-Database</w:t>
        </w:r>
      </w:hyperlink>
    </w:p>
    <w:p w14:paraId="38F2AEE2" w14:textId="77777777" w:rsidR="0041274D" w:rsidRPr="00D35F39" w:rsidRDefault="0041274D" w:rsidP="0041274D">
      <w:pPr>
        <w:overflowPunct w:val="0"/>
        <w:autoSpaceDE w:val="0"/>
        <w:autoSpaceDN w:val="0"/>
        <w:adjustRightInd w:val="0"/>
        <w:spacing w:before="120" w:after="120" w:line="240" w:lineRule="auto"/>
        <w:jc w:val="left"/>
        <w:divId w:val="434059591"/>
        <w:rPr>
          <w:rFonts w:eastAsia="Cambria"/>
          <w:sz w:val="20"/>
          <w:szCs w:val="20"/>
          <w:lang w:eastAsia="en-GB"/>
        </w:rPr>
      </w:pPr>
      <w:r w:rsidRPr="00D35F39">
        <w:rPr>
          <w:rFonts w:eastAsia="Cambria"/>
          <w:sz w:val="20"/>
          <w:szCs w:val="20"/>
          <w:lang w:eastAsia="en-GB"/>
        </w:rPr>
        <w:t xml:space="preserve">HM Government, 2008. Climate Change Act 2008, </w:t>
      </w:r>
      <w:r w:rsidRPr="00D35F39">
        <w:rPr>
          <w:bCs/>
          <w:sz w:val="20"/>
          <w:szCs w:val="20"/>
        </w:rPr>
        <w:t xml:space="preserve">© </w:t>
      </w:r>
      <w:r w:rsidRPr="00D35F39">
        <w:rPr>
          <w:rFonts w:eastAsia="Cambria"/>
          <w:sz w:val="20"/>
          <w:szCs w:val="20"/>
          <w:lang w:eastAsia="en-GB"/>
        </w:rPr>
        <w:t xml:space="preserve">Crown copyright. Her Majesty's Stationary Office and Queen’s Printer of Acts of Parliament. </w:t>
      </w:r>
      <w:r w:rsidRPr="00D35F39">
        <w:rPr>
          <w:bCs/>
          <w:sz w:val="20"/>
          <w:szCs w:val="20"/>
        </w:rPr>
        <w:t>Last accessed 24</w:t>
      </w:r>
      <w:r w:rsidRPr="00D35F39">
        <w:rPr>
          <w:bCs/>
          <w:sz w:val="20"/>
          <w:szCs w:val="20"/>
          <w:vertAlign w:val="superscript"/>
        </w:rPr>
        <w:t>th</w:t>
      </w:r>
      <w:r w:rsidRPr="00D35F39">
        <w:rPr>
          <w:bCs/>
          <w:sz w:val="20"/>
          <w:szCs w:val="20"/>
        </w:rPr>
        <w:t xml:space="preserve"> January 2015 at </w:t>
      </w:r>
      <w:hyperlink r:id="rId24" w:history="1">
        <w:r w:rsidRPr="00D35F39">
          <w:rPr>
            <w:rFonts w:eastAsia="Cambria"/>
            <w:color w:val="0000FF"/>
            <w:sz w:val="20"/>
            <w:szCs w:val="20"/>
            <w:u w:val="single"/>
            <w:lang w:eastAsia="en-GB"/>
          </w:rPr>
          <w:t>http://www.legislation.gov.uk/ukpga/2008/27/pdfs/ukpga_20080027_en.pdf</w:t>
        </w:r>
      </w:hyperlink>
    </w:p>
    <w:p w14:paraId="512BE27A" w14:textId="77777777" w:rsidR="00094D55" w:rsidRPr="00D35F39" w:rsidRDefault="00094D55" w:rsidP="00094D55">
      <w:pPr>
        <w:spacing w:before="120" w:after="120" w:line="240" w:lineRule="auto"/>
        <w:jc w:val="left"/>
        <w:divId w:val="434059591"/>
        <w:rPr>
          <w:bCs/>
          <w:sz w:val="20"/>
          <w:szCs w:val="20"/>
        </w:rPr>
      </w:pPr>
      <w:r w:rsidRPr="00D35F39">
        <w:rPr>
          <w:bCs/>
          <w:sz w:val="20"/>
          <w:szCs w:val="20"/>
        </w:rPr>
        <w:t>HM Government</w:t>
      </w:r>
      <w:r w:rsidR="0041274D" w:rsidRPr="00D35F39">
        <w:rPr>
          <w:bCs/>
          <w:sz w:val="20"/>
          <w:szCs w:val="20"/>
        </w:rPr>
        <w:t>,</w:t>
      </w:r>
      <w:r w:rsidRPr="00D35F39">
        <w:rPr>
          <w:bCs/>
          <w:sz w:val="20"/>
          <w:szCs w:val="20"/>
        </w:rPr>
        <w:t xml:space="preserve"> 2010</w:t>
      </w:r>
      <w:r w:rsidR="0041274D" w:rsidRPr="00D35F39">
        <w:rPr>
          <w:bCs/>
          <w:sz w:val="20"/>
          <w:szCs w:val="20"/>
        </w:rPr>
        <w:t>.</w:t>
      </w:r>
      <w:r w:rsidRPr="00D35F39">
        <w:rPr>
          <w:bCs/>
          <w:sz w:val="20"/>
          <w:szCs w:val="20"/>
        </w:rPr>
        <w:t xml:space="preserve"> The Building Regulations 2000 (2010 edition): Approved Document F1: means of ventilation. </w:t>
      </w:r>
      <w:r w:rsidR="0041274D" w:rsidRPr="00D35F39">
        <w:rPr>
          <w:bCs/>
          <w:sz w:val="20"/>
          <w:szCs w:val="20"/>
        </w:rPr>
        <w:t xml:space="preserve">© </w:t>
      </w:r>
      <w:r w:rsidRPr="00D35F39">
        <w:rPr>
          <w:bCs/>
          <w:sz w:val="20"/>
          <w:szCs w:val="20"/>
        </w:rPr>
        <w:t xml:space="preserve">Crown Copyright </w:t>
      </w:r>
      <w:r w:rsidR="0041274D" w:rsidRPr="00D35F39">
        <w:rPr>
          <w:bCs/>
          <w:sz w:val="20"/>
          <w:szCs w:val="20"/>
        </w:rPr>
        <w:t>Last accessed 24</w:t>
      </w:r>
      <w:r w:rsidR="0041274D" w:rsidRPr="00D35F39">
        <w:rPr>
          <w:bCs/>
          <w:sz w:val="20"/>
          <w:szCs w:val="20"/>
          <w:vertAlign w:val="superscript"/>
        </w:rPr>
        <w:t>th</w:t>
      </w:r>
      <w:r w:rsidR="0041274D" w:rsidRPr="00D35F39">
        <w:rPr>
          <w:bCs/>
          <w:sz w:val="20"/>
          <w:szCs w:val="20"/>
        </w:rPr>
        <w:t xml:space="preserve"> January 2015 at </w:t>
      </w:r>
      <w:hyperlink r:id="rId25" w:history="1">
        <w:r w:rsidRPr="00D35F39">
          <w:rPr>
            <w:bCs/>
            <w:color w:val="0000FF"/>
            <w:sz w:val="20"/>
            <w:szCs w:val="20"/>
            <w:u w:val="single"/>
          </w:rPr>
          <w:t>http://www.planningportal.gov.uk/uploads/br/BR_PDF_ADF_2010.pdf</w:t>
        </w:r>
      </w:hyperlink>
    </w:p>
    <w:p w14:paraId="1B9C3C03" w14:textId="77777777" w:rsidR="00094D55" w:rsidRPr="00D35F39" w:rsidRDefault="00094D55" w:rsidP="00094D55">
      <w:pPr>
        <w:spacing w:before="120" w:after="120" w:line="240" w:lineRule="auto"/>
        <w:jc w:val="left"/>
        <w:divId w:val="434059591"/>
        <w:rPr>
          <w:sz w:val="20"/>
          <w:szCs w:val="20"/>
        </w:rPr>
      </w:pPr>
      <w:r w:rsidRPr="00D35F39">
        <w:rPr>
          <w:sz w:val="20"/>
          <w:szCs w:val="20"/>
        </w:rPr>
        <w:t>HM Government</w:t>
      </w:r>
      <w:r w:rsidR="0041274D" w:rsidRPr="00D35F39">
        <w:rPr>
          <w:sz w:val="20"/>
          <w:szCs w:val="20"/>
        </w:rPr>
        <w:t>,</w:t>
      </w:r>
      <w:r w:rsidRPr="00D35F39">
        <w:rPr>
          <w:sz w:val="20"/>
          <w:szCs w:val="20"/>
        </w:rPr>
        <w:t xml:space="preserve"> 2013. The Building Regulations Approved Document L - Conservation of fuel and </w:t>
      </w:r>
      <w:r w:rsidR="005B4F28" w:rsidRPr="00D35F39">
        <w:rPr>
          <w:sz w:val="20"/>
          <w:szCs w:val="20"/>
        </w:rPr>
        <w:t xml:space="preserve">power </w:t>
      </w:r>
      <w:r w:rsidR="0041274D" w:rsidRPr="00D35F39">
        <w:rPr>
          <w:bCs/>
          <w:sz w:val="20"/>
          <w:szCs w:val="20"/>
        </w:rPr>
        <w:t>Last accessed 24</w:t>
      </w:r>
      <w:r w:rsidR="0041274D" w:rsidRPr="00D35F39">
        <w:rPr>
          <w:bCs/>
          <w:sz w:val="20"/>
          <w:szCs w:val="20"/>
          <w:vertAlign w:val="superscript"/>
        </w:rPr>
        <w:t>th</w:t>
      </w:r>
      <w:r w:rsidR="0041274D" w:rsidRPr="00D35F39">
        <w:rPr>
          <w:bCs/>
          <w:sz w:val="20"/>
          <w:szCs w:val="20"/>
        </w:rPr>
        <w:t xml:space="preserve"> January 2015 at </w:t>
      </w:r>
      <w:r w:rsidRPr="00D35F39">
        <w:rPr>
          <w:sz w:val="20"/>
          <w:szCs w:val="20"/>
        </w:rPr>
        <w:t>http://www.planningportal.gov.uk/buildingregulations/approveddocuments/partl/approved</w:t>
      </w:r>
    </w:p>
    <w:p w14:paraId="53B702D3" w14:textId="77777777" w:rsidR="00094D55" w:rsidRPr="00D35F39" w:rsidRDefault="00094D55" w:rsidP="00094D55">
      <w:pPr>
        <w:spacing w:before="120" w:after="120" w:line="240" w:lineRule="auto"/>
        <w:jc w:val="left"/>
        <w:divId w:val="434059591"/>
        <w:rPr>
          <w:bCs/>
          <w:sz w:val="20"/>
          <w:szCs w:val="20"/>
        </w:rPr>
      </w:pPr>
      <w:r w:rsidRPr="00D35F39">
        <w:rPr>
          <w:bCs/>
          <w:sz w:val="20"/>
          <w:szCs w:val="20"/>
        </w:rPr>
        <w:t>Hong, S., Ridley, I., Oreszczyn, T.</w:t>
      </w:r>
      <w:r w:rsidR="0041274D" w:rsidRPr="00D35F39">
        <w:rPr>
          <w:bCs/>
          <w:sz w:val="20"/>
          <w:szCs w:val="20"/>
        </w:rPr>
        <w:t>,</w:t>
      </w:r>
      <w:r w:rsidRPr="00D35F39">
        <w:rPr>
          <w:bCs/>
          <w:sz w:val="20"/>
          <w:szCs w:val="20"/>
        </w:rPr>
        <w:t xml:space="preserve"> and the Warm Front Study Group</w:t>
      </w:r>
      <w:r w:rsidR="0041274D" w:rsidRPr="00D35F39">
        <w:rPr>
          <w:bCs/>
          <w:sz w:val="20"/>
          <w:szCs w:val="20"/>
        </w:rPr>
        <w:t>,</w:t>
      </w:r>
      <w:r w:rsidRPr="00D35F39">
        <w:rPr>
          <w:bCs/>
          <w:sz w:val="20"/>
          <w:szCs w:val="20"/>
        </w:rPr>
        <w:t xml:space="preserve"> 2004</w:t>
      </w:r>
      <w:r w:rsidR="002E6809" w:rsidRPr="00D35F39">
        <w:rPr>
          <w:bCs/>
          <w:sz w:val="20"/>
          <w:szCs w:val="20"/>
        </w:rPr>
        <w:t>.</w:t>
      </w:r>
      <w:r w:rsidRPr="00D35F39">
        <w:rPr>
          <w:bCs/>
          <w:sz w:val="20"/>
          <w:szCs w:val="20"/>
        </w:rPr>
        <w:t xml:space="preserve"> The Impact of Energy Efficient Refurbishment on the Airtightness in English Dwellings. In: 25th AVIC Conference, pp7-12</w:t>
      </w:r>
      <w:r w:rsidR="0041274D" w:rsidRPr="00D35F39">
        <w:rPr>
          <w:bCs/>
          <w:sz w:val="20"/>
          <w:szCs w:val="20"/>
        </w:rPr>
        <w:t>.</w:t>
      </w:r>
    </w:p>
    <w:p w14:paraId="2EF43A49" w14:textId="77777777" w:rsidR="00D15969" w:rsidRPr="00D35F39" w:rsidRDefault="00242C96" w:rsidP="00094D55">
      <w:pPr>
        <w:spacing w:before="120" w:after="120" w:line="240" w:lineRule="auto"/>
        <w:jc w:val="left"/>
        <w:divId w:val="434059591"/>
        <w:rPr>
          <w:rFonts w:eastAsia="Times New Roman"/>
          <w:bCs/>
          <w:sz w:val="20"/>
          <w:szCs w:val="20"/>
          <w:lang w:eastAsia="en-GB"/>
        </w:rPr>
      </w:pPr>
      <w:r w:rsidRPr="00D35F39">
        <w:rPr>
          <w:rFonts w:eastAsia="Times New Roman"/>
          <w:bCs/>
          <w:sz w:val="20"/>
          <w:szCs w:val="20"/>
          <w:lang w:eastAsia="en-GB"/>
        </w:rPr>
        <w:t>HPA</w:t>
      </w:r>
      <w:r w:rsidR="0041274D" w:rsidRPr="00D35F39">
        <w:rPr>
          <w:rFonts w:eastAsia="Times New Roman"/>
          <w:bCs/>
          <w:sz w:val="20"/>
          <w:szCs w:val="20"/>
          <w:lang w:eastAsia="en-GB"/>
        </w:rPr>
        <w:t>,</w:t>
      </w:r>
      <w:r w:rsidRPr="00D35F39">
        <w:rPr>
          <w:rFonts w:eastAsia="Times New Roman"/>
          <w:bCs/>
          <w:sz w:val="20"/>
          <w:szCs w:val="20"/>
          <w:lang w:eastAsia="en-GB"/>
        </w:rPr>
        <w:t xml:space="preserve"> 2011. Radon in Homes in England and Wales: 2010 Data Review. Health Protection Agency. HPA-CRCE-015</w:t>
      </w:r>
      <w:r w:rsidR="00D15969" w:rsidRPr="00D35F39">
        <w:rPr>
          <w:sz w:val="20"/>
          <w:szCs w:val="20"/>
        </w:rPr>
        <w:t xml:space="preserve"> </w:t>
      </w:r>
      <w:r w:rsidR="0041274D" w:rsidRPr="00D35F39">
        <w:rPr>
          <w:bCs/>
          <w:sz w:val="20"/>
          <w:szCs w:val="20"/>
        </w:rPr>
        <w:t>Last accessed 30</w:t>
      </w:r>
      <w:r w:rsidR="0041274D" w:rsidRPr="00D35F39">
        <w:rPr>
          <w:bCs/>
          <w:sz w:val="20"/>
          <w:szCs w:val="20"/>
          <w:vertAlign w:val="superscript"/>
        </w:rPr>
        <w:t>th</w:t>
      </w:r>
      <w:r w:rsidR="0041274D" w:rsidRPr="00D35F39">
        <w:rPr>
          <w:bCs/>
          <w:sz w:val="20"/>
          <w:szCs w:val="20"/>
        </w:rPr>
        <w:t xml:space="preserve"> January 2015 at </w:t>
      </w:r>
      <w:hyperlink r:id="rId26" w:history="1">
        <w:r w:rsidR="00D15969" w:rsidRPr="00D35F39">
          <w:rPr>
            <w:rStyle w:val="Hyperlink"/>
            <w:rFonts w:eastAsia="Times New Roman"/>
            <w:bCs/>
            <w:sz w:val="20"/>
            <w:szCs w:val="20"/>
            <w:lang w:eastAsia="en-GB"/>
          </w:rPr>
          <w:t>https://www.gov.uk/government/uploads/system/uploads/attachment_data/file/340169/HPA-CRCE-015_for_website.pdf</w:t>
        </w:r>
      </w:hyperlink>
    </w:p>
    <w:p w14:paraId="6A6CCFFE" w14:textId="77777777" w:rsidR="000D32DD" w:rsidRDefault="000D32DD" w:rsidP="00094D55">
      <w:pPr>
        <w:spacing w:before="120" w:after="120" w:line="240" w:lineRule="auto"/>
        <w:jc w:val="left"/>
        <w:divId w:val="434059591"/>
        <w:rPr>
          <w:sz w:val="20"/>
          <w:szCs w:val="20"/>
        </w:rPr>
      </w:pPr>
      <w:r w:rsidRPr="000D32DD">
        <w:rPr>
          <w:sz w:val="20"/>
          <w:szCs w:val="20"/>
        </w:rPr>
        <w:t>Hugh</w:t>
      </w:r>
      <w:r>
        <w:rPr>
          <w:sz w:val="20"/>
          <w:szCs w:val="20"/>
        </w:rPr>
        <w:t>es, M., Palmer, J., Cheng, V.,</w:t>
      </w:r>
      <w:r w:rsidRPr="000D32DD">
        <w:rPr>
          <w:sz w:val="20"/>
          <w:szCs w:val="20"/>
        </w:rPr>
        <w:t xml:space="preserve"> Shipworth, D.</w:t>
      </w:r>
      <w:r>
        <w:rPr>
          <w:sz w:val="20"/>
          <w:szCs w:val="20"/>
        </w:rPr>
        <w:t>, 2013</w:t>
      </w:r>
      <w:r w:rsidRPr="000D32DD">
        <w:rPr>
          <w:sz w:val="20"/>
          <w:szCs w:val="20"/>
        </w:rPr>
        <w:t>. Sensitivity and uncertainty analysis of England’s housing energy model. Building Research &amp; Information, 41(2), 156–167. doi:10.1080/09613218.2013.769146</w:t>
      </w:r>
    </w:p>
    <w:p w14:paraId="6B743C6E" w14:textId="77777777" w:rsidR="00094D55" w:rsidRPr="00D35F39" w:rsidRDefault="000D32DD" w:rsidP="00094D55">
      <w:pPr>
        <w:spacing w:before="120" w:after="120" w:line="240" w:lineRule="auto"/>
        <w:jc w:val="left"/>
        <w:divId w:val="434059591"/>
        <w:rPr>
          <w:sz w:val="20"/>
          <w:szCs w:val="20"/>
        </w:rPr>
      </w:pPr>
      <w:r w:rsidRPr="000D32DD">
        <w:rPr>
          <w:sz w:val="20"/>
          <w:szCs w:val="20"/>
        </w:rPr>
        <w:lastRenderedPageBreak/>
        <w:t xml:space="preserve"> </w:t>
      </w:r>
      <w:r w:rsidR="00094D55" w:rsidRPr="00D35F39">
        <w:rPr>
          <w:sz w:val="20"/>
          <w:szCs w:val="20"/>
        </w:rPr>
        <w:t>Kornartit, C., Sokhi, R.S., Burton, M.A., Ravindra, K.</w:t>
      </w:r>
      <w:r w:rsidR="00770E92" w:rsidRPr="00D35F39">
        <w:rPr>
          <w:sz w:val="20"/>
          <w:szCs w:val="20"/>
        </w:rPr>
        <w:t>,</w:t>
      </w:r>
      <w:r w:rsidR="00094D55" w:rsidRPr="00D35F39">
        <w:rPr>
          <w:sz w:val="20"/>
          <w:szCs w:val="20"/>
        </w:rPr>
        <w:t xml:space="preserve"> 2010. Activity pattern and personal exposure to nitrogen dioxide in indoor and outdoor microenvironments. Environment International, 36, 36-45.</w:t>
      </w:r>
    </w:p>
    <w:p w14:paraId="653F3D26" w14:textId="77777777" w:rsidR="00094D55" w:rsidRPr="00D35F39" w:rsidRDefault="00094D55" w:rsidP="00094D55">
      <w:pPr>
        <w:spacing w:before="120" w:after="120" w:line="240" w:lineRule="auto"/>
        <w:jc w:val="left"/>
        <w:divId w:val="434059591"/>
        <w:rPr>
          <w:sz w:val="20"/>
          <w:szCs w:val="20"/>
        </w:rPr>
      </w:pPr>
      <w:r w:rsidRPr="00D35F39">
        <w:rPr>
          <w:sz w:val="20"/>
          <w:szCs w:val="20"/>
        </w:rPr>
        <w:t>Law</w:t>
      </w:r>
      <w:r w:rsidR="00770E92" w:rsidRPr="00D35F39">
        <w:rPr>
          <w:sz w:val="20"/>
          <w:szCs w:val="20"/>
        </w:rPr>
        <w:t>,</w:t>
      </w:r>
      <w:r w:rsidRPr="00D35F39">
        <w:rPr>
          <w:sz w:val="20"/>
          <w:szCs w:val="20"/>
        </w:rPr>
        <w:t xml:space="preserve"> M</w:t>
      </w:r>
      <w:r w:rsidR="00770E92" w:rsidRPr="00D35F39">
        <w:rPr>
          <w:sz w:val="20"/>
          <w:szCs w:val="20"/>
        </w:rPr>
        <w:t>.</w:t>
      </w:r>
      <w:r w:rsidRPr="00D35F39">
        <w:rPr>
          <w:sz w:val="20"/>
          <w:szCs w:val="20"/>
        </w:rPr>
        <w:t>R</w:t>
      </w:r>
      <w:r w:rsidR="00770E92" w:rsidRPr="00D35F39">
        <w:rPr>
          <w:sz w:val="20"/>
          <w:szCs w:val="20"/>
        </w:rPr>
        <w:t>.</w:t>
      </w:r>
      <w:r w:rsidRPr="00D35F39">
        <w:rPr>
          <w:sz w:val="20"/>
          <w:szCs w:val="20"/>
        </w:rPr>
        <w:t>, Morris</w:t>
      </w:r>
      <w:r w:rsidR="00770E92" w:rsidRPr="00D35F39">
        <w:rPr>
          <w:sz w:val="20"/>
          <w:szCs w:val="20"/>
        </w:rPr>
        <w:t>,</w:t>
      </w:r>
      <w:r w:rsidRPr="00D35F39">
        <w:rPr>
          <w:sz w:val="20"/>
          <w:szCs w:val="20"/>
        </w:rPr>
        <w:t xml:space="preserve"> J</w:t>
      </w:r>
      <w:r w:rsidR="00770E92" w:rsidRPr="00D35F39">
        <w:rPr>
          <w:sz w:val="20"/>
          <w:szCs w:val="20"/>
        </w:rPr>
        <w:t>.</w:t>
      </w:r>
      <w:r w:rsidRPr="00D35F39">
        <w:rPr>
          <w:sz w:val="20"/>
          <w:szCs w:val="20"/>
        </w:rPr>
        <w:t>K</w:t>
      </w:r>
      <w:r w:rsidR="00770E92" w:rsidRPr="00D35F39">
        <w:rPr>
          <w:sz w:val="20"/>
          <w:szCs w:val="20"/>
        </w:rPr>
        <w:t>.</w:t>
      </w:r>
      <w:r w:rsidRPr="00D35F39">
        <w:rPr>
          <w:sz w:val="20"/>
          <w:szCs w:val="20"/>
        </w:rPr>
        <w:t>, Wald</w:t>
      </w:r>
      <w:r w:rsidR="00770E92" w:rsidRPr="00D35F39">
        <w:rPr>
          <w:sz w:val="20"/>
          <w:szCs w:val="20"/>
        </w:rPr>
        <w:t>,</w:t>
      </w:r>
      <w:r w:rsidRPr="00D35F39">
        <w:rPr>
          <w:sz w:val="20"/>
          <w:szCs w:val="20"/>
        </w:rPr>
        <w:t xml:space="preserve"> N</w:t>
      </w:r>
      <w:r w:rsidR="00770E92" w:rsidRPr="00D35F39">
        <w:rPr>
          <w:sz w:val="20"/>
          <w:szCs w:val="20"/>
        </w:rPr>
        <w:t>.</w:t>
      </w:r>
      <w:r w:rsidRPr="00D35F39">
        <w:rPr>
          <w:sz w:val="20"/>
          <w:szCs w:val="20"/>
        </w:rPr>
        <w:t>J</w:t>
      </w:r>
      <w:r w:rsidR="00770E92" w:rsidRPr="00D35F39">
        <w:rPr>
          <w:sz w:val="20"/>
          <w:szCs w:val="20"/>
        </w:rPr>
        <w:t>., 1997.</w:t>
      </w:r>
      <w:r w:rsidRPr="00D35F39">
        <w:rPr>
          <w:sz w:val="20"/>
          <w:szCs w:val="20"/>
        </w:rPr>
        <w:t xml:space="preserve"> Environmental tobacco smoke exposure and ischaemic heart disease: an evaluation of the evidence. BMJ; 315: 973–80.</w:t>
      </w:r>
    </w:p>
    <w:p w14:paraId="4619B7F1" w14:textId="77777777" w:rsidR="00094D55" w:rsidRPr="00D35F39" w:rsidRDefault="00094D55" w:rsidP="00094D55">
      <w:pPr>
        <w:spacing w:before="120" w:after="120" w:line="240" w:lineRule="auto"/>
        <w:jc w:val="left"/>
        <w:divId w:val="434059591"/>
        <w:rPr>
          <w:rFonts w:cs="TimesNewRoman"/>
          <w:bCs/>
          <w:sz w:val="20"/>
          <w:szCs w:val="20"/>
        </w:rPr>
      </w:pPr>
      <w:r w:rsidRPr="00D35F39">
        <w:rPr>
          <w:rFonts w:cs="TimesNewRoman"/>
          <w:bCs/>
          <w:sz w:val="20"/>
          <w:szCs w:val="20"/>
        </w:rPr>
        <w:t>Lee</w:t>
      </w:r>
      <w:r w:rsidR="00770E92" w:rsidRPr="00D35F39">
        <w:rPr>
          <w:rFonts w:cs="TimesNewRoman"/>
          <w:bCs/>
          <w:sz w:val="20"/>
          <w:szCs w:val="20"/>
        </w:rPr>
        <w:t>,</w:t>
      </w:r>
      <w:r w:rsidRPr="00D35F39">
        <w:rPr>
          <w:rFonts w:cs="TimesNewRoman"/>
          <w:bCs/>
          <w:sz w:val="20"/>
          <w:szCs w:val="20"/>
        </w:rPr>
        <w:t xml:space="preserve"> P</w:t>
      </w:r>
      <w:r w:rsidR="00770E92" w:rsidRPr="00D35F39">
        <w:rPr>
          <w:rFonts w:cs="TimesNewRoman"/>
          <w:bCs/>
          <w:sz w:val="20"/>
          <w:szCs w:val="20"/>
        </w:rPr>
        <w:t>.</w:t>
      </w:r>
      <w:r w:rsidRPr="00D35F39">
        <w:rPr>
          <w:rFonts w:cs="TimesNewRoman"/>
          <w:bCs/>
          <w:sz w:val="20"/>
          <w:szCs w:val="20"/>
        </w:rPr>
        <w:t>N</w:t>
      </w:r>
      <w:r w:rsidR="00770E92" w:rsidRPr="00D35F39">
        <w:rPr>
          <w:rFonts w:cs="TimesNewRoman"/>
          <w:bCs/>
          <w:sz w:val="20"/>
          <w:szCs w:val="20"/>
        </w:rPr>
        <w:t>.</w:t>
      </w:r>
      <w:r w:rsidRPr="00D35F39">
        <w:rPr>
          <w:rFonts w:cs="TimesNewRoman"/>
          <w:bCs/>
          <w:sz w:val="20"/>
          <w:szCs w:val="20"/>
        </w:rPr>
        <w:t>, Forey</w:t>
      </w:r>
      <w:r w:rsidR="00770E92" w:rsidRPr="00D35F39">
        <w:rPr>
          <w:rFonts w:cs="TimesNewRoman"/>
          <w:bCs/>
          <w:sz w:val="20"/>
          <w:szCs w:val="20"/>
        </w:rPr>
        <w:t>,</w:t>
      </w:r>
      <w:r w:rsidRPr="00D35F39">
        <w:rPr>
          <w:rFonts w:cs="TimesNewRoman"/>
          <w:bCs/>
          <w:sz w:val="20"/>
          <w:szCs w:val="20"/>
        </w:rPr>
        <w:t xml:space="preserve"> B</w:t>
      </w:r>
      <w:r w:rsidR="00770E92" w:rsidRPr="00D35F39">
        <w:rPr>
          <w:rFonts w:cs="TimesNewRoman"/>
          <w:bCs/>
          <w:sz w:val="20"/>
          <w:szCs w:val="20"/>
        </w:rPr>
        <w:t>.</w:t>
      </w:r>
      <w:r w:rsidRPr="00D35F39">
        <w:rPr>
          <w:rFonts w:cs="TimesNewRoman"/>
          <w:bCs/>
          <w:sz w:val="20"/>
          <w:szCs w:val="20"/>
        </w:rPr>
        <w:t>A.</w:t>
      </w:r>
      <w:r w:rsidR="00770E92" w:rsidRPr="00D35F39">
        <w:rPr>
          <w:rFonts w:cs="TimesNewRoman"/>
          <w:bCs/>
          <w:sz w:val="20"/>
          <w:szCs w:val="20"/>
        </w:rPr>
        <w:t>, 2006.</w:t>
      </w:r>
      <w:r w:rsidRPr="00D35F39">
        <w:rPr>
          <w:rFonts w:cs="TimesNewRoman"/>
          <w:bCs/>
          <w:sz w:val="20"/>
          <w:szCs w:val="20"/>
        </w:rPr>
        <w:t xml:space="preserve"> Environmental tobacco smoke exposure and risk of stroke in </w:t>
      </w:r>
      <w:r w:rsidR="005B4F28" w:rsidRPr="00D35F39">
        <w:rPr>
          <w:rFonts w:cs="TimesNewRoman"/>
          <w:bCs/>
          <w:sz w:val="20"/>
          <w:szCs w:val="20"/>
        </w:rPr>
        <w:t>non-smokers</w:t>
      </w:r>
      <w:r w:rsidRPr="00D35F39">
        <w:rPr>
          <w:rFonts w:cs="TimesNewRoman"/>
          <w:bCs/>
          <w:sz w:val="20"/>
          <w:szCs w:val="20"/>
        </w:rPr>
        <w:t xml:space="preserve">: a review with meta-analysis. </w:t>
      </w:r>
      <w:r w:rsidR="002E6809" w:rsidRPr="00D35F39">
        <w:rPr>
          <w:rFonts w:cs="TimesNewRoman"/>
          <w:bCs/>
          <w:sz w:val="20"/>
          <w:szCs w:val="20"/>
        </w:rPr>
        <w:t>Journal</w:t>
      </w:r>
      <w:r w:rsidRPr="00D35F39">
        <w:rPr>
          <w:rFonts w:cs="TimesNewRoman"/>
          <w:bCs/>
          <w:sz w:val="20"/>
          <w:szCs w:val="20"/>
        </w:rPr>
        <w:t xml:space="preserve"> Stroke </w:t>
      </w:r>
      <w:r w:rsidR="002E6809" w:rsidRPr="00D35F39">
        <w:rPr>
          <w:rFonts w:cs="TimesNewRoman"/>
          <w:bCs/>
          <w:sz w:val="20"/>
          <w:szCs w:val="20"/>
        </w:rPr>
        <w:t>Cerebrovascular</w:t>
      </w:r>
      <w:r w:rsidRPr="00D35F39">
        <w:rPr>
          <w:rFonts w:cs="TimesNewRoman"/>
          <w:bCs/>
          <w:sz w:val="20"/>
          <w:szCs w:val="20"/>
        </w:rPr>
        <w:t xml:space="preserve"> Dis; 15: 190–201.</w:t>
      </w:r>
    </w:p>
    <w:p w14:paraId="63B269EC" w14:textId="77777777" w:rsidR="00094D55" w:rsidRPr="00D35F39" w:rsidRDefault="00094D55" w:rsidP="00094D55">
      <w:pPr>
        <w:spacing w:before="120" w:after="120" w:line="240" w:lineRule="auto"/>
        <w:jc w:val="left"/>
        <w:divId w:val="434059591"/>
        <w:rPr>
          <w:rFonts w:eastAsia="Times New Roman"/>
          <w:bCs/>
          <w:sz w:val="20"/>
          <w:szCs w:val="20"/>
          <w:lang w:eastAsia="en-GB"/>
        </w:rPr>
      </w:pPr>
      <w:r w:rsidRPr="00D35F39">
        <w:rPr>
          <w:rFonts w:eastAsia="Times New Roman"/>
          <w:bCs/>
          <w:sz w:val="20"/>
          <w:szCs w:val="20"/>
          <w:lang w:eastAsia="en-GB"/>
        </w:rPr>
        <w:t>Miller, B.</w:t>
      </w:r>
      <w:r w:rsidR="00770E92" w:rsidRPr="00D35F39">
        <w:rPr>
          <w:rFonts w:eastAsia="Times New Roman"/>
          <w:bCs/>
          <w:sz w:val="20"/>
          <w:szCs w:val="20"/>
          <w:lang w:eastAsia="en-GB"/>
        </w:rPr>
        <w:t>,</w:t>
      </w:r>
      <w:r w:rsidRPr="00D35F39">
        <w:rPr>
          <w:rFonts w:eastAsia="Times New Roman"/>
          <w:bCs/>
          <w:sz w:val="20"/>
          <w:szCs w:val="20"/>
          <w:lang w:eastAsia="en-GB"/>
        </w:rPr>
        <w:t xml:space="preserve"> Hurley, J.</w:t>
      </w:r>
      <w:r w:rsidR="00770E92" w:rsidRPr="00D35F39">
        <w:rPr>
          <w:rFonts w:eastAsia="Times New Roman"/>
          <w:bCs/>
          <w:sz w:val="20"/>
          <w:szCs w:val="20"/>
          <w:lang w:eastAsia="en-GB"/>
        </w:rPr>
        <w:t>, 2003.</w:t>
      </w:r>
      <w:r w:rsidRPr="00D35F39">
        <w:rPr>
          <w:rFonts w:eastAsia="Times New Roman"/>
          <w:bCs/>
          <w:sz w:val="20"/>
          <w:szCs w:val="20"/>
          <w:lang w:eastAsia="en-GB"/>
        </w:rPr>
        <w:t xml:space="preserve"> Life table methods for quantitative impact assessments in chronic mortality. J </w:t>
      </w:r>
      <w:r w:rsidR="005B4F28" w:rsidRPr="00D35F39">
        <w:rPr>
          <w:rFonts w:eastAsia="Times New Roman"/>
          <w:bCs/>
          <w:sz w:val="20"/>
          <w:szCs w:val="20"/>
          <w:lang w:eastAsia="en-GB"/>
        </w:rPr>
        <w:t>Epidemiology</w:t>
      </w:r>
      <w:r w:rsidRPr="00D35F39">
        <w:rPr>
          <w:rFonts w:eastAsia="Times New Roman"/>
          <w:bCs/>
          <w:sz w:val="20"/>
          <w:szCs w:val="20"/>
          <w:lang w:eastAsia="en-GB"/>
        </w:rPr>
        <w:t xml:space="preserve"> Community Health 57, 200-206</w:t>
      </w:r>
      <w:r w:rsidR="00770E92" w:rsidRPr="00D35F39">
        <w:rPr>
          <w:rFonts w:eastAsia="Times New Roman"/>
          <w:bCs/>
          <w:sz w:val="20"/>
          <w:szCs w:val="20"/>
          <w:lang w:eastAsia="en-GB"/>
        </w:rPr>
        <w:t>.</w:t>
      </w:r>
    </w:p>
    <w:p w14:paraId="4E96669D" w14:textId="77777777" w:rsidR="00094D55" w:rsidRPr="00D35F39" w:rsidRDefault="00094D55" w:rsidP="00094D55">
      <w:pPr>
        <w:spacing w:before="120" w:after="120" w:line="240" w:lineRule="auto"/>
        <w:jc w:val="left"/>
        <w:divId w:val="434059591"/>
        <w:rPr>
          <w:color w:val="0000FF"/>
          <w:sz w:val="20"/>
          <w:szCs w:val="20"/>
          <w:u w:val="single"/>
        </w:rPr>
      </w:pPr>
      <w:r w:rsidRPr="00D35F39">
        <w:rPr>
          <w:sz w:val="20"/>
          <w:szCs w:val="20"/>
        </w:rPr>
        <w:t>Milner, J., Shrubsole, C., Das, P., Jones, B., Ridley, I., Chalabi, Z., Hamilton, I., Armstrong, B., Davies, M.</w:t>
      </w:r>
      <w:r w:rsidR="00770E92" w:rsidRPr="00D35F39">
        <w:rPr>
          <w:sz w:val="20"/>
          <w:szCs w:val="20"/>
        </w:rPr>
        <w:t>,</w:t>
      </w:r>
      <w:r w:rsidRPr="00D35F39">
        <w:rPr>
          <w:sz w:val="20"/>
          <w:szCs w:val="20"/>
        </w:rPr>
        <w:t xml:space="preserve"> Wilkinson, P.</w:t>
      </w:r>
      <w:r w:rsidR="00770E92" w:rsidRPr="00D35F39">
        <w:rPr>
          <w:sz w:val="20"/>
          <w:szCs w:val="20"/>
        </w:rPr>
        <w:t>,</w:t>
      </w:r>
      <w:r w:rsidRPr="00D35F39">
        <w:rPr>
          <w:sz w:val="20"/>
          <w:szCs w:val="20"/>
        </w:rPr>
        <w:t xml:space="preserve"> 2014</w:t>
      </w:r>
      <w:r w:rsidR="00770E92" w:rsidRPr="00D35F39">
        <w:rPr>
          <w:sz w:val="20"/>
          <w:szCs w:val="20"/>
        </w:rPr>
        <w:t>.</w:t>
      </w:r>
      <w:r w:rsidRPr="00D35F39">
        <w:rPr>
          <w:sz w:val="20"/>
          <w:szCs w:val="20"/>
        </w:rPr>
        <w:t xml:space="preserve"> Home energy efficiency and radon related risk of lung cancer: modelling study. BMJ (Clinical research ed.) 01/2014; 348:f7493.doi: 10.1136/bmj.f7493. </w:t>
      </w:r>
      <w:r w:rsidR="00770E92" w:rsidRPr="00D35F39">
        <w:rPr>
          <w:bCs/>
          <w:sz w:val="20"/>
          <w:szCs w:val="20"/>
        </w:rPr>
        <w:t>Last accessed 24</w:t>
      </w:r>
      <w:r w:rsidR="00770E92" w:rsidRPr="00D35F39">
        <w:rPr>
          <w:bCs/>
          <w:sz w:val="20"/>
          <w:szCs w:val="20"/>
          <w:vertAlign w:val="superscript"/>
        </w:rPr>
        <w:t>th</w:t>
      </w:r>
      <w:r w:rsidR="00770E92" w:rsidRPr="00D35F39">
        <w:rPr>
          <w:bCs/>
          <w:sz w:val="20"/>
          <w:szCs w:val="20"/>
        </w:rPr>
        <w:t xml:space="preserve"> January 2015</w:t>
      </w:r>
      <w:r w:rsidR="00A06300" w:rsidRPr="00D35F39">
        <w:rPr>
          <w:bCs/>
          <w:sz w:val="20"/>
          <w:szCs w:val="20"/>
        </w:rPr>
        <w:t xml:space="preserve"> at</w:t>
      </w:r>
      <w:r w:rsidR="00770E92" w:rsidRPr="00D35F39">
        <w:rPr>
          <w:bCs/>
          <w:sz w:val="20"/>
          <w:szCs w:val="20"/>
        </w:rPr>
        <w:t xml:space="preserve"> </w:t>
      </w:r>
      <w:hyperlink r:id="rId27" w:history="1">
        <w:r w:rsidRPr="00D35F39">
          <w:rPr>
            <w:color w:val="0000FF"/>
            <w:sz w:val="20"/>
            <w:szCs w:val="20"/>
            <w:u w:val="single"/>
          </w:rPr>
          <w:t>http://www.bmj.com/content/348/bmj.f7493</w:t>
        </w:r>
      </w:hyperlink>
    </w:p>
    <w:p w14:paraId="7AEB73BE" w14:textId="77777777" w:rsidR="00094D55" w:rsidRPr="00D35F39" w:rsidRDefault="009269C6" w:rsidP="00094D55">
      <w:pPr>
        <w:spacing w:before="120" w:after="120" w:line="240" w:lineRule="auto"/>
        <w:jc w:val="left"/>
        <w:divId w:val="434059591"/>
        <w:rPr>
          <w:sz w:val="20"/>
          <w:szCs w:val="20"/>
        </w:rPr>
      </w:pPr>
      <w:r w:rsidRPr="009269C6">
        <w:rPr>
          <w:sz w:val="20"/>
          <w:szCs w:val="20"/>
        </w:rPr>
        <w:t>MKiO</w:t>
      </w:r>
      <w:r w:rsidR="000863A0">
        <w:rPr>
          <w:sz w:val="20"/>
          <w:szCs w:val="20"/>
        </w:rPr>
        <w:t>, 2014</w:t>
      </w:r>
      <w:r w:rsidRPr="009269C6">
        <w:rPr>
          <w:sz w:val="20"/>
          <w:szCs w:val="20"/>
        </w:rPr>
        <w:t xml:space="preserve">. Milton Keynes intelligence Observatory. </w:t>
      </w:r>
      <w:r w:rsidR="008F394E">
        <w:rPr>
          <w:sz w:val="20"/>
          <w:szCs w:val="20"/>
        </w:rPr>
        <w:t>Last</w:t>
      </w:r>
      <w:r>
        <w:rPr>
          <w:sz w:val="20"/>
          <w:szCs w:val="20"/>
        </w:rPr>
        <w:t xml:space="preserve"> accessed 22</w:t>
      </w:r>
      <w:r w:rsidRPr="008F394E">
        <w:rPr>
          <w:sz w:val="20"/>
          <w:szCs w:val="20"/>
          <w:vertAlign w:val="superscript"/>
        </w:rPr>
        <w:t>nd</w:t>
      </w:r>
      <w:r>
        <w:rPr>
          <w:sz w:val="20"/>
          <w:szCs w:val="20"/>
        </w:rPr>
        <w:t xml:space="preserve"> January 2015 at</w:t>
      </w:r>
      <w:r w:rsidRPr="009269C6">
        <w:rPr>
          <w:sz w:val="20"/>
          <w:szCs w:val="20"/>
        </w:rPr>
        <w:t xml:space="preserve"> http://www.mkiobservatory.org.uk/</w:t>
      </w:r>
      <w:r w:rsidR="00094D55" w:rsidRPr="00D35F39">
        <w:rPr>
          <w:sz w:val="20"/>
          <w:szCs w:val="20"/>
        </w:rPr>
        <w:t>NHS</w:t>
      </w:r>
      <w:r w:rsidR="004227E4" w:rsidRPr="00D35F39">
        <w:rPr>
          <w:sz w:val="20"/>
          <w:szCs w:val="20"/>
        </w:rPr>
        <w:t>,</w:t>
      </w:r>
      <w:r w:rsidR="00094D55" w:rsidRPr="00D35F39">
        <w:rPr>
          <w:sz w:val="20"/>
          <w:szCs w:val="20"/>
        </w:rPr>
        <w:t xml:space="preserve"> 2011</w:t>
      </w:r>
      <w:r w:rsidR="004227E4" w:rsidRPr="00D35F39">
        <w:rPr>
          <w:sz w:val="20"/>
          <w:szCs w:val="20"/>
        </w:rPr>
        <w:t>.</w:t>
      </w:r>
      <w:r w:rsidR="00094D55" w:rsidRPr="00D35F39">
        <w:rPr>
          <w:sz w:val="20"/>
          <w:szCs w:val="20"/>
        </w:rPr>
        <w:t xml:space="preserve"> The NHS Information Centre, Lifestyles Statistics. Crown Copyright</w:t>
      </w:r>
      <w:r w:rsidR="004227E4" w:rsidRPr="00D35F39">
        <w:rPr>
          <w:sz w:val="20"/>
          <w:szCs w:val="20"/>
        </w:rPr>
        <w:t>.</w:t>
      </w:r>
      <w:r w:rsidR="00094D55" w:rsidRPr="00D35F39">
        <w:rPr>
          <w:sz w:val="20"/>
          <w:szCs w:val="20"/>
        </w:rPr>
        <w:t xml:space="preserve"> The Health and Social Care Information Centre. </w:t>
      </w:r>
      <w:r w:rsidR="004227E4" w:rsidRPr="00D35F39">
        <w:rPr>
          <w:bCs/>
          <w:sz w:val="20"/>
          <w:szCs w:val="20"/>
        </w:rPr>
        <w:t>Last accessed 24</w:t>
      </w:r>
      <w:r w:rsidR="004227E4" w:rsidRPr="00D35F39">
        <w:rPr>
          <w:bCs/>
          <w:sz w:val="20"/>
          <w:szCs w:val="20"/>
          <w:vertAlign w:val="superscript"/>
        </w:rPr>
        <w:t>th</w:t>
      </w:r>
      <w:r w:rsidR="004227E4" w:rsidRPr="00D35F39">
        <w:rPr>
          <w:bCs/>
          <w:sz w:val="20"/>
          <w:szCs w:val="20"/>
        </w:rPr>
        <w:t xml:space="preserve"> January 2015 at </w:t>
      </w:r>
      <w:hyperlink r:id="rId28" w:history="1">
        <w:r w:rsidR="00094D55" w:rsidRPr="00D35F39">
          <w:rPr>
            <w:color w:val="0000FF"/>
            <w:sz w:val="20"/>
            <w:szCs w:val="20"/>
            <w:u w:val="single"/>
          </w:rPr>
          <w:t>http://www.ic.nhs.uk/webfiles/publications/003_Health_Lifestyles/Statistics%20on%20Smoking%202011/Statistics_on_Smoking_2011.pdf</w:t>
        </w:r>
      </w:hyperlink>
    </w:p>
    <w:p w14:paraId="35C430A4" w14:textId="77777777" w:rsidR="000863A0" w:rsidRDefault="000863A0" w:rsidP="00094D55">
      <w:pPr>
        <w:spacing w:before="120" w:after="120" w:line="240" w:lineRule="auto"/>
        <w:jc w:val="left"/>
        <w:divId w:val="434059591"/>
        <w:rPr>
          <w:sz w:val="20"/>
          <w:szCs w:val="20"/>
        </w:rPr>
      </w:pPr>
      <w:r w:rsidRPr="000863A0">
        <w:rPr>
          <w:sz w:val="20"/>
          <w:szCs w:val="20"/>
        </w:rPr>
        <w:t>Oikonomou, E., Davies, M.</w:t>
      </w:r>
      <w:r>
        <w:rPr>
          <w:sz w:val="20"/>
          <w:szCs w:val="20"/>
        </w:rPr>
        <w:t>, Biddulph, P., Wilkinson, P.,</w:t>
      </w:r>
      <w:r w:rsidRPr="000863A0">
        <w:rPr>
          <w:sz w:val="20"/>
          <w:szCs w:val="20"/>
        </w:rPr>
        <w:t xml:space="preserve"> Kolokotroni, M.</w:t>
      </w:r>
      <w:r>
        <w:rPr>
          <w:sz w:val="20"/>
          <w:szCs w:val="20"/>
        </w:rPr>
        <w:t>, 2012</w:t>
      </w:r>
      <w:r w:rsidRPr="000863A0">
        <w:rPr>
          <w:sz w:val="20"/>
          <w:szCs w:val="20"/>
        </w:rPr>
        <w:t>. Modelling the relative importance of the urban heat island and the thermal quality of dwellings for overheating in London. Building and Environment, 57, 223-238. doi:10.1016/j.buildenv.2012.04.002</w:t>
      </w:r>
    </w:p>
    <w:p w14:paraId="428ADDB8" w14:textId="77777777" w:rsidR="00094D55" w:rsidRPr="00D35F39" w:rsidRDefault="00094D55" w:rsidP="00094D55">
      <w:pPr>
        <w:spacing w:before="120" w:after="120" w:line="240" w:lineRule="auto"/>
        <w:jc w:val="left"/>
        <w:divId w:val="434059591"/>
        <w:rPr>
          <w:sz w:val="20"/>
          <w:szCs w:val="20"/>
        </w:rPr>
      </w:pPr>
      <w:r w:rsidRPr="00D35F39">
        <w:rPr>
          <w:sz w:val="20"/>
          <w:szCs w:val="20"/>
        </w:rPr>
        <w:t>Oreszczyn, T., Hong, S., Ridley, I. Wilkinson, P.</w:t>
      </w:r>
      <w:r w:rsidR="00A06300" w:rsidRPr="00D35F39">
        <w:rPr>
          <w:sz w:val="20"/>
          <w:szCs w:val="20"/>
        </w:rPr>
        <w:t>,</w:t>
      </w:r>
      <w:r w:rsidRPr="00D35F39">
        <w:rPr>
          <w:sz w:val="20"/>
          <w:szCs w:val="20"/>
        </w:rPr>
        <w:t xml:space="preserve"> 2006</w:t>
      </w:r>
      <w:r w:rsidR="00A06300" w:rsidRPr="00D35F39">
        <w:rPr>
          <w:sz w:val="20"/>
          <w:szCs w:val="20"/>
        </w:rPr>
        <w:t>.</w:t>
      </w:r>
      <w:r w:rsidRPr="00D35F39">
        <w:rPr>
          <w:sz w:val="20"/>
          <w:szCs w:val="20"/>
        </w:rPr>
        <w:t xml:space="preserve"> For the Warm Front Study Group. Determinants of winter indoor temperatures in low income households in England. Energy &amp; Buildings 38(3):245-252.</w:t>
      </w:r>
    </w:p>
    <w:p w14:paraId="6468A306" w14:textId="77777777" w:rsidR="00094D55" w:rsidRPr="00D35F39" w:rsidRDefault="00094D55" w:rsidP="00094D55">
      <w:pPr>
        <w:spacing w:before="120" w:after="120" w:line="240" w:lineRule="auto"/>
        <w:jc w:val="left"/>
        <w:divId w:val="434059591"/>
        <w:rPr>
          <w:sz w:val="20"/>
          <w:szCs w:val="20"/>
        </w:rPr>
      </w:pPr>
      <w:r w:rsidRPr="00D35F39">
        <w:rPr>
          <w:sz w:val="20"/>
          <w:szCs w:val="20"/>
        </w:rPr>
        <w:t>Ozkaynak, H., Xue, J., Spengl</w:t>
      </w:r>
      <w:r w:rsidR="003F38AB" w:rsidRPr="00D35F39">
        <w:rPr>
          <w:sz w:val="20"/>
          <w:szCs w:val="20"/>
        </w:rPr>
        <w:t>e</w:t>
      </w:r>
      <w:r w:rsidRPr="00D35F39">
        <w:rPr>
          <w:sz w:val="20"/>
          <w:szCs w:val="20"/>
        </w:rPr>
        <w:t>r, J.D., Wallace, L.A., Pellizzari, E.D</w:t>
      </w:r>
      <w:r w:rsidR="002E6809" w:rsidRPr="00D35F39">
        <w:rPr>
          <w:sz w:val="20"/>
          <w:szCs w:val="20"/>
        </w:rPr>
        <w:t>.,</w:t>
      </w:r>
      <w:r w:rsidRPr="00D35F39">
        <w:rPr>
          <w:sz w:val="20"/>
          <w:szCs w:val="20"/>
        </w:rPr>
        <w:t xml:space="preserve"> Jenkins, P.</w:t>
      </w:r>
      <w:r w:rsidR="00A06300" w:rsidRPr="00D35F39">
        <w:rPr>
          <w:sz w:val="20"/>
          <w:szCs w:val="20"/>
        </w:rPr>
        <w:t>,</w:t>
      </w:r>
      <w:r w:rsidRPr="00D35F39">
        <w:rPr>
          <w:sz w:val="20"/>
          <w:szCs w:val="20"/>
        </w:rPr>
        <w:t xml:space="preserve"> 1996</w:t>
      </w:r>
      <w:r w:rsidR="00A06300" w:rsidRPr="00D35F39">
        <w:rPr>
          <w:sz w:val="20"/>
          <w:szCs w:val="20"/>
        </w:rPr>
        <w:t>.</w:t>
      </w:r>
      <w:r w:rsidRPr="00D35F39">
        <w:rPr>
          <w:sz w:val="20"/>
          <w:szCs w:val="20"/>
        </w:rPr>
        <w:t xml:space="preserve"> Personal exposure to particles and metals: results from a particle TEAM study in Riverside CA, Journal of Exposure Analysis and Environmental Epidemiology, 6 (1), 57e78.</w:t>
      </w:r>
    </w:p>
    <w:p w14:paraId="1D430C73" w14:textId="77777777" w:rsidR="008E6E9D" w:rsidRDefault="008E6E9D" w:rsidP="00094D55">
      <w:pPr>
        <w:spacing w:before="120" w:after="120" w:line="240" w:lineRule="auto"/>
        <w:jc w:val="left"/>
        <w:divId w:val="434059591"/>
        <w:rPr>
          <w:sz w:val="20"/>
          <w:szCs w:val="20"/>
        </w:rPr>
      </w:pPr>
      <w:r w:rsidRPr="008E6E9D">
        <w:rPr>
          <w:sz w:val="20"/>
          <w:szCs w:val="20"/>
        </w:rPr>
        <w:t>Palmer, J., Cooper, I.</w:t>
      </w:r>
      <w:r>
        <w:rPr>
          <w:sz w:val="20"/>
          <w:szCs w:val="20"/>
        </w:rPr>
        <w:t>,</w:t>
      </w:r>
      <w:r w:rsidRPr="008E6E9D">
        <w:rPr>
          <w:sz w:val="20"/>
          <w:szCs w:val="20"/>
        </w:rPr>
        <w:t xml:space="preserve"> 2011. Great Britain’s housing energy fact file. London, UK</w:t>
      </w:r>
      <w:r w:rsidR="008F394E">
        <w:rPr>
          <w:sz w:val="20"/>
          <w:szCs w:val="20"/>
        </w:rPr>
        <w:t>.</w:t>
      </w:r>
      <w:r w:rsidRPr="008E6E9D">
        <w:rPr>
          <w:sz w:val="20"/>
          <w:szCs w:val="20"/>
        </w:rPr>
        <w:t xml:space="preserve"> Last accessed 24th January </w:t>
      </w:r>
      <w:r w:rsidR="008F394E" w:rsidRPr="008E6E9D">
        <w:rPr>
          <w:sz w:val="20"/>
          <w:szCs w:val="20"/>
        </w:rPr>
        <w:t xml:space="preserve">2015 </w:t>
      </w:r>
      <w:r w:rsidR="008F394E">
        <w:rPr>
          <w:sz w:val="20"/>
          <w:szCs w:val="20"/>
        </w:rPr>
        <w:t>at</w:t>
      </w:r>
      <w:r w:rsidR="00D63395">
        <w:rPr>
          <w:sz w:val="20"/>
          <w:szCs w:val="20"/>
        </w:rPr>
        <w:t xml:space="preserve"> </w:t>
      </w:r>
      <w:hyperlink r:id="rId29" w:history="1">
        <w:r w:rsidRPr="00CB110E">
          <w:rPr>
            <w:rStyle w:val="Hyperlink"/>
            <w:sz w:val="20"/>
            <w:szCs w:val="20"/>
          </w:rPr>
          <w:t>https://www.gov.uk/government/uploads/system/uploads/attachment_data/file/48195/3224-great-britains-housing-energy-fact-file-2011.pdf</w:t>
        </w:r>
      </w:hyperlink>
    </w:p>
    <w:p w14:paraId="30416781" w14:textId="77777777" w:rsidR="00094D55" w:rsidRPr="00D35F39" w:rsidRDefault="00094D55" w:rsidP="00094D55">
      <w:pPr>
        <w:spacing w:before="120" w:after="120" w:line="240" w:lineRule="auto"/>
        <w:jc w:val="left"/>
        <w:divId w:val="434059591"/>
        <w:rPr>
          <w:sz w:val="20"/>
          <w:szCs w:val="20"/>
        </w:rPr>
      </w:pPr>
      <w:r w:rsidRPr="00D35F39">
        <w:rPr>
          <w:sz w:val="20"/>
          <w:szCs w:val="20"/>
        </w:rPr>
        <w:t>Pope</w:t>
      </w:r>
      <w:r w:rsidR="00A06300" w:rsidRPr="00D35F39">
        <w:rPr>
          <w:sz w:val="20"/>
          <w:szCs w:val="20"/>
        </w:rPr>
        <w:t>,</w:t>
      </w:r>
      <w:r w:rsidRPr="00D35F39">
        <w:rPr>
          <w:sz w:val="20"/>
          <w:szCs w:val="20"/>
        </w:rPr>
        <w:t xml:space="preserve"> C</w:t>
      </w:r>
      <w:r w:rsidR="00A06300" w:rsidRPr="00D35F39">
        <w:rPr>
          <w:sz w:val="20"/>
          <w:szCs w:val="20"/>
        </w:rPr>
        <w:t>.</w:t>
      </w:r>
      <w:r w:rsidRPr="00D35F39">
        <w:rPr>
          <w:sz w:val="20"/>
          <w:szCs w:val="20"/>
        </w:rPr>
        <w:t>A</w:t>
      </w:r>
      <w:r w:rsidR="00A06300" w:rsidRPr="00D35F39">
        <w:rPr>
          <w:sz w:val="20"/>
          <w:szCs w:val="20"/>
        </w:rPr>
        <w:t>.</w:t>
      </w:r>
      <w:r w:rsidRPr="00D35F39">
        <w:rPr>
          <w:sz w:val="20"/>
          <w:szCs w:val="20"/>
        </w:rPr>
        <w:t>, Burnett</w:t>
      </w:r>
      <w:r w:rsidR="00A06300" w:rsidRPr="00D35F39">
        <w:rPr>
          <w:sz w:val="20"/>
          <w:szCs w:val="20"/>
        </w:rPr>
        <w:t>,</w:t>
      </w:r>
      <w:r w:rsidRPr="00D35F39">
        <w:rPr>
          <w:sz w:val="20"/>
          <w:szCs w:val="20"/>
        </w:rPr>
        <w:t xml:space="preserve"> R</w:t>
      </w:r>
      <w:r w:rsidR="00A06300" w:rsidRPr="00D35F39">
        <w:rPr>
          <w:sz w:val="20"/>
          <w:szCs w:val="20"/>
        </w:rPr>
        <w:t>.</w:t>
      </w:r>
      <w:r w:rsidRPr="00D35F39">
        <w:rPr>
          <w:sz w:val="20"/>
          <w:szCs w:val="20"/>
        </w:rPr>
        <w:t>T</w:t>
      </w:r>
      <w:r w:rsidR="00A06300" w:rsidRPr="00D35F39">
        <w:rPr>
          <w:sz w:val="20"/>
          <w:szCs w:val="20"/>
        </w:rPr>
        <w:t>.</w:t>
      </w:r>
      <w:r w:rsidRPr="00D35F39">
        <w:rPr>
          <w:sz w:val="20"/>
          <w:szCs w:val="20"/>
        </w:rPr>
        <w:t>, Thun</w:t>
      </w:r>
      <w:r w:rsidR="00A06300" w:rsidRPr="00D35F39">
        <w:rPr>
          <w:sz w:val="20"/>
          <w:szCs w:val="20"/>
        </w:rPr>
        <w:t>,</w:t>
      </w:r>
      <w:r w:rsidRPr="00D35F39">
        <w:rPr>
          <w:sz w:val="20"/>
          <w:szCs w:val="20"/>
        </w:rPr>
        <w:t xml:space="preserve"> M</w:t>
      </w:r>
      <w:r w:rsidR="00A06300" w:rsidRPr="00D35F39">
        <w:rPr>
          <w:sz w:val="20"/>
          <w:szCs w:val="20"/>
        </w:rPr>
        <w:t>.</w:t>
      </w:r>
      <w:r w:rsidRPr="00D35F39">
        <w:rPr>
          <w:sz w:val="20"/>
          <w:szCs w:val="20"/>
        </w:rPr>
        <w:t>J</w:t>
      </w:r>
      <w:r w:rsidR="00A06300" w:rsidRPr="00D35F39">
        <w:rPr>
          <w:sz w:val="20"/>
          <w:szCs w:val="20"/>
        </w:rPr>
        <w:t>.</w:t>
      </w:r>
      <w:r w:rsidRPr="00D35F39">
        <w:rPr>
          <w:sz w:val="20"/>
          <w:szCs w:val="20"/>
        </w:rPr>
        <w:t xml:space="preserve">, </w:t>
      </w:r>
      <w:r w:rsidR="00A06300" w:rsidRPr="00D35F39">
        <w:rPr>
          <w:sz w:val="20"/>
          <w:szCs w:val="20"/>
        </w:rPr>
        <w:t>2002</w:t>
      </w:r>
      <w:r w:rsidRPr="00D35F39">
        <w:rPr>
          <w:sz w:val="20"/>
          <w:szCs w:val="20"/>
        </w:rPr>
        <w:t xml:space="preserve"> Lung cancer, cardiopulmonary mortality, and long-term exposure to fine particulate air pollution. </w:t>
      </w:r>
      <w:r w:rsidR="002E6809" w:rsidRPr="00D35F39">
        <w:rPr>
          <w:sz w:val="20"/>
          <w:szCs w:val="20"/>
        </w:rPr>
        <w:t>JAMA;</w:t>
      </w:r>
      <w:r w:rsidRPr="00D35F39">
        <w:rPr>
          <w:sz w:val="20"/>
          <w:szCs w:val="20"/>
        </w:rPr>
        <w:t xml:space="preserve"> 287: 1132–41.</w:t>
      </w:r>
    </w:p>
    <w:p w14:paraId="582C7D87" w14:textId="77777777" w:rsidR="00094D55" w:rsidRPr="00D35F39" w:rsidRDefault="00094D55" w:rsidP="00094D55">
      <w:pPr>
        <w:spacing w:before="120" w:after="120" w:line="240" w:lineRule="auto"/>
        <w:jc w:val="left"/>
        <w:divId w:val="434059591"/>
        <w:rPr>
          <w:sz w:val="20"/>
          <w:szCs w:val="20"/>
        </w:rPr>
      </w:pPr>
      <w:r w:rsidRPr="00D35F39">
        <w:rPr>
          <w:sz w:val="20"/>
          <w:szCs w:val="20"/>
        </w:rPr>
        <w:t>Pope</w:t>
      </w:r>
      <w:r w:rsidR="00A06300" w:rsidRPr="00D35F39">
        <w:rPr>
          <w:sz w:val="20"/>
          <w:szCs w:val="20"/>
        </w:rPr>
        <w:t>,</w:t>
      </w:r>
      <w:r w:rsidRPr="00D35F39">
        <w:rPr>
          <w:sz w:val="20"/>
          <w:szCs w:val="20"/>
        </w:rPr>
        <w:t xml:space="preserve"> C</w:t>
      </w:r>
      <w:r w:rsidR="00A06300" w:rsidRPr="00D35F39">
        <w:rPr>
          <w:sz w:val="20"/>
          <w:szCs w:val="20"/>
        </w:rPr>
        <w:t>.</w:t>
      </w:r>
      <w:r w:rsidRPr="00D35F39">
        <w:rPr>
          <w:sz w:val="20"/>
          <w:szCs w:val="20"/>
        </w:rPr>
        <w:t>A</w:t>
      </w:r>
      <w:r w:rsidR="00A06300" w:rsidRPr="00D35F39">
        <w:rPr>
          <w:sz w:val="20"/>
          <w:szCs w:val="20"/>
        </w:rPr>
        <w:t>.</w:t>
      </w:r>
      <w:r w:rsidRPr="00D35F39">
        <w:rPr>
          <w:sz w:val="20"/>
          <w:szCs w:val="20"/>
        </w:rPr>
        <w:t>, Burnett</w:t>
      </w:r>
      <w:r w:rsidR="00A06300" w:rsidRPr="00D35F39">
        <w:rPr>
          <w:sz w:val="20"/>
          <w:szCs w:val="20"/>
        </w:rPr>
        <w:t>,</w:t>
      </w:r>
      <w:r w:rsidRPr="00D35F39">
        <w:rPr>
          <w:sz w:val="20"/>
          <w:szCs w:val="20"/>
        </w:rPr>
        <w:t xml:space="preserve"> R</w:t>
      </w:r>
      <w:r w:rsidR="00A06300" w:rsidRPr="00D35F39">
        <w:rPr>
          <w:sz w:val="20"/>
          <w:szCs w:val="20"/>
        </w:rPr>
        <w:t>.</w:t>
      </w:r>
      <w:r w:rsidRPr="00D35F39">
        <w:rPr>
          <w:sz w:val="20"/>
          <w:szCs w:val="20"/>
        </w:rPr>
        <w:t>T</w:t>
      </w:r>
      <w:r w:rsidR="00A06300" w:rsidRPr="00D35F39">
        <w:rPr>
          <w:sz w:val="20"/>
          <w:szCs w:val="20"/>
        </w:rPr>
        <w:t>.</w:t>
      </w:r>
      <w:r w:rsidRPr="00D35F39">
        <w:rPr>
          <w:sz w:val="20"/>
          <w:szCs w:val="20"/>
        </w:rPr>
        <w:t>, Thurston</w:t>
      </w:r>
      <w:r w:rsidR="00A06300" w:rsidRPr="00D35F39">
        <w:rPr>
          <w:sz w:val="20"/>
          <w:szCs w:val="20"/>
        </w:rPr>
        <w:t>,</w:t>
      </w:r>
      <w:r w:rsidRPr="00D35F39">
        <w:rPr>
          <w:sz w:val="20"/>
          <w:szCs w:val="20"/>
        </w:rPr>
        <w:t xml:space="preserve"> G</w:t>
      </w:r>
      <w:r w:rsidR="00A06300" w:rsidRPr="00D35F39">
        <w:rPr>
          <w:sz w:val="20"/>
          <w:szCs w:val="20"/>
        </w:rPr>
        <w:t>.</w:t>
      </w:r>
      <w:r w:rsidRPr="00D35F39">
        <w:rPr>
          <w:sz w:val="20"/>
          <w:szCs w:val="20"/>
        </w:rPr>
        <w:t>D</w:t>
      </w:r>
      <w:r w:rsidR="00A06300" w:rsidRPr="00D35F39">
        <w:rPr>
          <w:sz w:val="20"/>
          <w:szCs w:val="20"/>
        </w:rPr>
        <w:t>.</w:t>
      </w:r>
      <w:r w:rsidRPr="00D35F39">
        <w:rPr>
          <w:sz w:val="20"/>
          <w:szCs w:val="20"/>
        </w:rPr>
        <w:t xml:space="preserve">, </w:t>
      </w:r>
      <w:r w:rsidR="00A06300" w:rsidRPr="00D35F39">
        <w:rPr>
          <w:sz w:val="20"/>
          <w:szCs w:val="20"/>
        </w:rPr>
        <w:t>2004.</w:t>
      </w:r>
      <w:r w:rsidRPr="00D35F39">
        <w:rPr>
          <w:sz w:val="20"/>
          <w:szCs w:val="20"/>
        </w:rPr>
        <w:t xml:space="preserve"> Cardiovascular mortality and long-term exposure to particulate air pollution: epidemiological evidence of general pathophysiological pathways of disease. Circulation; 109: 71–7.</w:t>
      </w:r>
    </w:p>
    <w:p w14:paraId="59CD7A0C" w14:textId="328B2322" w:rsidR="008F735E" w:rsidRDefault="008F735E" w:rsidP="00094D55">
      <w:pPr>
        <w:spacing w:before="120" w:after="120" w:line="240" w:lineRule="auto"/>
        <w:jc w:val="left"/>
        <w:divId w:val="434059591"/>
        <w:rPr>
          <w:sz w:val="20"/>
          <w:szCs w:val="20"/>
        </w:rPr>
      </w:pPr>
      <w:r w:rsidRPr="008F735E">
        <w:rPr>
          <w:sz w:val="20"/>
          <w:szCs w:val="20"/>
        </w:rPr>
        <w:t>Rohr</w:t>
      </w:r>
      <w:r>
        <w:rPr>
          <w:sz w:val="20"/>
          <w:szCs w:val="20"/>
        </w:rPr>
        <w:t>,</w:t>
      </w:r>
      <w:r w:rsidRPr="008F735E">
        <w:rPr>
          <w:sz w:val="20"/>
          <w:szCs w:val="20"/>
        </w:rPr>
        <w:t xml:space="preserve"> A</w:t>
      </w:r>
      <w:r>
        <w:rPr>
          <w:sz w:val="20"/>
          <w:szCs w:val="20"/>
        </w:rPr>
        <w:t>.</w:t>
      </w:r>
      <w:r w:rsidRPr="008F735E">
        <w:rPr>
          <w:sz w:val="20"/>
          <w:szCs w:val="20"/>
        </w:rPr>
        <w:t>C</w:t>
      </w:r>
      <w:r>
        <w:rPr>
          <w:sz w:val="20"/>
          <w:szCs w:val="20"/>
        </w:rPr>
        <w:t>.</w:t>
      </w:r>
      <w:r w:rsidRPr="008F735E">
        <w:rPr>
          <w:sz w:val="20"/>
          <w:szCs w:val="20"/>
        </w:rPr>
        <w:t>, Wyzga</w:t>
      </w:r>
      <w:r>
        <w:rPr>
          <w:sz w:val="20"/>
          <w:szCs w:val="20"/>
        </w:rPr>
        <w:t>,</w:t>
      </w:r>
      <w:r w:rsidRPr="008F735E">
        <w:rPr>
          <w:sz w:val="20"/>
          <w:szCs w:val="20"/>
        </w:rPr>
        <w:t xml:space="preserve"> R</w:t>
      </w:r>
      <w:r>
        <w:rPr>
          <w:sz w:val="20"/>
          <w:szCs w:val="20"/>
        </w:rPr>
        <w:t>.</w:t>
      </w:r>
      <w:r w:rsidRPr="008F735E">
        <w:rPr>
          <w:sz w:val="20"/>
          <w:szCs w:val="20"/>
        </w:rPr>
        <w:t>E</w:t>
      </w:r>
      <w:r w:rsidR="00C31A4F">
        <w:rPr>
          <w:sz w:val="20"/>
          <w:szCs w:val="20"/>
        </w:rPr>
        <w:t>.,</w:t>
      </w:r>
      <w:r w:rsidRPr="008F735E">
        <w:rPr>
          <w:sz w:val="20"/>
          <w:szCs w:val="20"/>
        </w:rPr>
        <w:t xml:space="preserve"> 2012. Attributing health effects to individual particulate matter constituents. Atmos</w:t>
      </w:r>
      <w:r>
        <w:rPr>
          <w:sz w:val="20"/>
          <w:szCs w:val="20"/>
        </w:rPr>
        <w:t>pheric</w:t>
      </w:r>
      <w:r w:rsidRPr="008F735E">
        <w:rPr>
          <w:sz w:val="20"/>
          <w:szCs w:val="20"/>
        </w:rPr>
        <w:t xml:space="preserve"> Environ</w:t>
      </w:r>
      <w:r>
        <w:rPr>
          <w:sz w:val="20"/>
          <w:szCs w:val="20"/>
        </w:rPr>
        <w:t>ment</w:t>
      </w:r>
      <w:r w:rsidRPr="008F735E">
        <w:rPr>
          <w:sz w:val="20"/>
          <w:szCs w:val="20"/>
        </w:rPr>
        <w:t xml:space="preserve"> 62: 130-152.</w:t>
      </w:r>
    </w:p>
    <w:p w14:paraId="38339850" w14:textId="3AD016C5" w:rsidR="008B4D39" w:rsidRDefault="008B4D39" w:rsidP="00094D55">
      <w:pPr>
        <w:spacing w:before="120" w:after="120" w:line="240" w:lineRule="auto"/>
        <w:jc w:val="left"/>
        <w:divId w:val="434059591"/>
        <w:rPr>
          <w:sz w:val="20"/>
          <w:szCs w:val="20"/>
        </w:rPr>
      </w:pPr>
      <w:r w:rsidRPr="008B4D39">
        <w:rPr>
          <w:sz w:val="20"/>
          <w:szCs w:val="20"/>
        </w:rPr>
        <w:t>Rosenow, J.</w:t>
      </w:r>
      <w:r>
        <w:rPr>
          <w:sz w:val="20"/>
          <w:szCs w:val="20"/>
        </w:rPr>
        <w:t>,</w:t>
      </w:r>
      <w:r w:rsidRPr="008B4D39">
        <w:rPr>
          <w:sz w:val="20"/>
          <w:szCs w:val="20"/>
        </w:rPr>
        <w:t xml:space="preserve"> </w:t>
      </w:r>
      <w:r>
        <w:rPr>
          <w:sz w:val="20"/>
          <w:szCs w:val="20"/>
        </w:rPr>
        <w:t>2012</w:t>
      </w:r>
      <w:r w:rsidRPr="008B4D39">
        <w:rPr>
          <w:sz w:val="20"/>
          <w:szCs w:val="20"/>
        </w:rPr>
        <w:t>. Energy savings obligations in the UK—A history of change. Energy Policy, 49, 373–382.</w:t>
      </w:r>
    </w:p>
    <w:p w14:paraId="4667794D" w14:textId="77777777" w:rsidR="00B35A8D" w:rsidRDefault="00B35A8D">
      <w:pPr>
        <w:spacing w:before="120" w:after="120" w:line="240" w:lineRule="auto"/>
        <w:jc w:val="left"/>
        <w:divId w:val="434059591"/>
        <w:rPr>
          <w:sz w:val="20"/>
          <w:szCs w:val="20"/>
        </w:rPr>
      </w:pPr>
    </w:p>
    <w:p w14:paraId="751EDC20" w14:textId="6F7D59DA" w:rsidR="0001133B" w:rsidRDefault="0001133B">
      <w:pPr>
        <w:spacing w:before="120" w:after="120" w:line="240" w:lineRule="auto"/>
        <w:jc w:val="left"/>
        <w:divId w:val="434059591"/>
        <w:rPr>
          <w:sz w:val="20"/>
          <w:szCs w:val="20"/>
        </w:rPr>
      </w:pPr>
      <w:r>
        <w:rPr>
          <w:sz w:val="20"/>
          <w:szCs w:val="20"/>
        </w:rPr>
        <w:t xml:space="preserve">Scarborough, P., Nnoaham, K. E., </w:t>
      </w:r>
      <w:r w:rsidR="00C31A4F">
        <w:rPr>
          <w:sz w:val="20"/>
          <w:szCs w:val="20"/>
        </w:rPr>
        <w:t>Clarke</w:t>
      </w:r>
      <w:r>
        <w:rPr>
          <w:sz w:val="20"/>
          <w:szCs w:val="20"/>
        </w:rPr>
        <w:t>, D., Capewell, S.</w:t>
      </w:r>
      <w:r w:rsidR="00C31A4F">
        <w:rPr>
          <w:sz w:val="20"/>
          <w:szCs w:val="20"/>
        </w:rPr>
        <w:t>, Rayner</w:t>
      </w:r>
      <w:r w:rsidRPr="0001133B">
        <w:rPr>
          <w:sz w:val="20"/>
          <w:szCs w:val="20"/>
        </w:rPr>
        <w:t>, M.</w:t>
      </w:r>
      <w:r>
        <w:rPr>
          <w:sz w:val="20"/>
          <w:szCs w:val="20"/>
        </w:rPr>
        <w:t>,</w:t>
      </w:r>
      <w:r w:rsidRPr="0001133B">
        <w:rPr>
          <w:sz w:val="20"/>
          <w:szCs w:val="20"/>
        </w:rPr>
        <w:t xml:space="preserve"> 2010. Modelling the impact of a healthy diet on cardiovascular disease and cancer mortality. Journal of Epidemiology and Community Health, doi:10.1136/jech.2010.114520.</w:t>
      </w:r>
    </w:p>
    <w:p w14:paraId="2E670FE1" w14:textId="47592F14" w:rsidR="00094D55" w:rsidRPr="00D35F39" w:rsidRDefault="00094D55">
      <w:pPr>
        <w:spacing w:before="120" w:after="120" w:line="240" w:lineRule="auto"/>
        <w:jc w:val="left"/>
        <w:divId w:val="434059591"/>
        <w:rPr>
          <w:sz w:val="20"/>
          <w:szCs w:val="20"/>
        </w:rPr>
      </w:pPr>
      <w:r w:rsidRPr="00D35F39">
        <w:rPr>
          <w:sz w:val="20"/>
          <w:szCs w:val="20"/>
        </w:rPr>
        <w:t>Sharpe, T.</w:t>
      </w:r>
      <w:r w:rsidR="00211B7C" w:rsidRPr="00D35F39">
        <w:rPr>
          <w:sz w:val="20"/>
          <w:szCs w:val="20"/>
        </w:rPr>
        <w:t xml:space="preserve">, </w:t>
      </w:r>
      <w:r w:rsidRPr="00D35F39">
        <w:rPr>
          <w:sz w:val="20"/>
          <w:szCs w:val="20"/>
        </w:rPr>
        <w:t>Shearer, D.</w:t>
      </w:r>
      <w:r w:rsidR="00211B7C" w:rsidRPr="00D35F39">
        <w:rPr>
          <w:sz w:val="20"/>
          <w:szCs w:val="20"/>
        </w:rPr>
        <w:t>,</w:t>
      </w:r>
      <w:r w:rsidRPr="00D35F39">
        <w:rPr>
          <w:sz w:val="20"/>
          <w:szCs w:val="20"/>
        </w:rPr>
        <w:t xml:space="preserve"> 201</w:t>
      </w:r>
      <w:r w:rsidR="006B16B3">
        <w:rPr>
          <w:sz w:val="20"/>
          <w:szCs w:val="20"/>
        </w:rPr>
        <w:t>4</w:t>
      </w:r>
      <w:r w:rsidR="00211B7C" w:rsidRPr="00D35F39">
        <w:rPr>
          <w:sz w:val="20"/>
          <w:szCs w:val="20"/>
        </w:rPr>
        <w:t>.</w:t>
      </w:r>
      <w:r w:rsidRPr="00D35F39">
        <w:rPr>
          <w:sz w:val="20"/>
          <w:szCs w:val="20"/>
        </w:rPr>
        <w:t xml:space="preserve"> From a Post Occupancy Evaluation of adaptive restoration and performance enhancement of a 19th century “Category B” listed tenement block in Edinburgh. </w:t>
      </w:r>
      <w:r w:rsidR="00211B7C" w:rsidRPr="00D35F39">
        <w:rPr>
          <w:bCs/>
          <w:sz w:val="20"/>
          <w:szCs w:val="20"/>
        </w:rPr>
        <w:t>Last accessed 2</w:t>
      </w:r>
      <w:r w:rsidR="00C53903">
        <w:rPr>
          <w:bCs/>
          <w:sz w:val="20"/>
          <w:szCs w:val="20"/>
        </w:rPr>
        <w:t>4</w:t>
      </w:r>
      <w:r w:rsidR="00211B7C" w:rsidRPr="00D35F39">
        <w:rPr>
          <w:bCs/>
          <w:sz w:val="20"/>
          <w:szCs w:val="20"/>
          <w:vertAlign w:val="superscript"/>
        </w:rPr>
        <w:t>th</w:t>
      </w:r>
      <w:r w:rsidR="00211B7C" w:rsidRPr="00D35F39">
        <w:rPr>
          <w:bCs/>
          <w:sz w:val="20"/>
          <w:szCs w:val="20"/>
        </w:rPr>
        <w:t xml:space="preserve"> </w:t>
      </w:r>
      <w:r w:rsidR="00C53903">
        <w:rPr>
          <w:bCs/>
          <w:sz w:val="20"/>
          <w:szCs w:val="20"/>
        </w:rPr>
        <w:t>April</w:t>
      </w:r>
      <w:r w:rsidR="00211B7C" w:rsidRPr="00D35F39">
        <w:rPr>
          <w:bCs/>
          <w:sz w:val="20"/>
          <w:szCs w:val="20"/>
        </w:rPr>
        <w:t xml:space="preserve"> 2015 </w:t>
      </w:r>
      <w:r w:rsidR="00211B7C" w:rsidRPr="00D35F39">
        <w:rPr>
          <w:sz w:val="20"/>
          <w:szCs w:val="20"/>
        </w:rPr>
        <w:t xml:space="preserve">at </w:t>
      </w:r>
      <w:r w:rsidR="00C53903" w:rsidRPr="00C53903">
        <w:rPr>
          <w:color w:val="0000FF"/>
          <w:sz w:val="20"/>
          <w:szCs w:val="20"/>
          <w:u w:val="single"/>
        </w:rPr>
        <w:t>http://www.salford.ac.uk/__data/assets/pdf_file/0004/142456/081-Sharpe.pdf</w:t>
      </w:r>
    </w:p>
    <w:p w14:paraId="42D8E3E9" w14:textId="77777777" w:rsidR="00094D55" w:rsidRPr="00D35F39" w:rsidRDefault="00094D55">
      <w:pPr>
        <w:spacing w:before="120" w:after="120" w:line="240" w:lineRule="auto"/>
        <w:jc w:val="left"/>
        <w:divId w:val="434059591"/>
        <w:rPr>
          <w:sz w:val="20"/>
          <w:szCs w:val="20"/>
        </w:rPr>
      </w:pPr>
      <w:r w:rsidRPr="00D35F39">
        <w:rPr>
          <w:sz w:val="20"/>
          <w:szCs w:val="20"/>
        </w:rPr>
        <w:t>Shrubsole, C., Ridley, I., Biddulph, P., Milner, J., Vardoulakis, S., Ucci, M., Wilkinson, P.</w:t>
      </w:r>
      <w:r w:rsidR="00211B7C" w:rsidRPr="00D35F39">
        <w:rPr>
          <w:sz w:val="20"/>
          <w:szCs w:val="20"/>
        </w:rPr>
        <w:t>,</w:t>
      </w:r>
      <w:r w:rsidR="002E6809" w:rsidRPr="00D35F39">
        <w:rPr>
          <w:sz w:val="20"/>
          <w:szCs w:val="20"/>
        </w:rPr>
        <w:t xml:space="preserve"> </w:t>
      </w:r>
      <w:r w:rsidRPr="00D35F39">
        <w:rPr>
          <w:sz w:val="20"/>
          <w:szCs w:val="20"/>
        </w:rPr>
        <w:t>Davies, M.</w:t>
      </w:r>
      <w:r w:rsidR="00211B7C" w:rsidRPr="00D35F39">
        <w:rPr>
          <w:sz w:val="20"/>
          <w:szCs w:val="20"/>
        </w:rPr>
        <w:t>,</w:t>
      </w:r>
      <w:r w:rsidRPr="00D35F39">
        <w:rPr>
          <w:sz w:val="20"/>
          <w:szCs w:val="20"/>
        </w:rPr>
        <w:t xml:space="preserve"> 2012</w:t>
      </w:r>
      <w:r w:rsidR="00211B7C" w:rsidRPr="00D35F39">
        <w:rPr>
          <w:sz w:val="20"/>
          <w:szCs w:val="20"/>
        </w:rPr>
        <w:t>.</w:t>
      </w:r>
      <w:r w:rsidRPr="00D35F39">
        <w:rPr>
          <w:sz w:val="20"/>
          <w:szCs w:val="20"/>
        </w:rPr>
        <w:t xml:space="preserve"> Indoor PM</w:t>
      </w:r>
      <w:r w:rsidRPr="00D35F39">
        <w:rPr>
          <w:sz w:val="20"/>
          <w:szCs w:val="20"/>
          <w:vertAlign w:val="subscript"/>
        </w:rPr>
        <w:t xml:space="preserve">2.5 </w:t>
      </w:r>
      <w:r w:rsidRPr="00D35F39">
        <w:rPr>
          <w:sz w:val="20"/>
          <w:szCs w:val="20"/>
        </w:rPr>
        <w:t xml:space="preserve">exposure in London’s domestic stock: Modelling current and future exposures following energy efficient refurbishment. </w:t>
      </w:r>
      <w:r w:rsidRPr="00D35F39">
        <w:rPr>
          <w:iCs/>
          <w:sz w:val="20"/>
          <w:szCs w:val="20"/>
        </w:rPr>
        <w:t>Atmospheric Environment</w:t>
      </w:r>
      <w:r w:rsidRPr="00D35F39">
        <w:rPr>
          <w:i/>
          <w:iCs/>
          <w:sz w:val="20"/>
          <w:szCs w:val="20"/>
        </w:rPr>
        <w:t xml:space="preserve"> </w:t>
      </w:r>
      <w:r w:rsidRPr="00D35F39">
        <w:rPr>
          <w:sz w:val="20"/>
          <w:szCs w:val="20"/>
        </w:rPr>
        <w:t>62:336–343</w:t>
      </w:r>
    </w:p>
    <w:p w14:paraId="15AC2BD4" w14:textId="77777777" w:rsidR="0067232E" w:rsidRPr="003D4317" w:rsidRDefault="000863A0" w:rsidP="003D4317">
      <w:pPr>
        <w:spacing w:before="120" w:after="120" w:line="240" w:lineRule="auto"/>
        <w:jc w:val="left"/>
        <w:divId w:val="434059591"/>
        <w:rPr>
          <w:sz w:val="12"/>
        </w:rPr>
      </w:pPr>
      <w:r w:rsidRPr="000863A0">
        <w:rPr>
          <w:color w:val="000000"/>
          <w:sz w:val="20"/>
          <w:szCs w:val="20"/>
        </w:rPr>
        <w:t>Shrubsole,</w:t>
      </w:r>
      <w:r w:rsidR="008F394E">
        <w:rPr>
          <w:color w:val="000000"/>
          <w:sz w:val="20"/>
          <w:szCs w:val="20"/>
        </w:rPr>
        <w:t xml:space="preserve"> C., Macmillan, A., Davies, M.,</w:t>
      </w:r>
      <w:r w:rsidRPr="000863A0">
        <w:rPr>
          <w:color w:val="000000"/>
          <w:sz w:val="20"/>
          <w:szCs w:val="20"/>
        </w:rPr>
        <w:t xml:space="preserve"> May, N.</w:t>
      </w:r>
      <w:r w:rsidR="008F394E">
        <w:rPr>
          <w:color w:val="000000"/>
          <w:sz w:val="20"/>
          <w:szCs w:val="20"/>
        </w:rPr>
        <w:t>, 2014</w:t>
      </w:r>
      <w:r w:rsidRPr="000863A0">
        <w:rPr>
          <w:color w:val="000000"/>
          <w:sz w:val="20"/>
          <w:szCs w:val="20"/>
        </w:rPr>
        <w:t xml:space="preserve">. 100 unintended consequences of polices to improve the energy </w:t>
      </w:r>
      <w:r w:rsidR="008F394E" w:rsidRPr="000863A0">
        <w:rPr>
          <w:color w:val="000000"/>
          <w:sz w:val="20"/>
          <w:szCs w:val="20"/>
        </w:rPr>
        <w:t>efficiency</w:t>
      </w:r>
      <w:r w:rsidRPr="000863A0">
        <w:rPr>
          <w:color w:val="000000"/>
          <w:sz w:val="20"/>
          <w:szCs w:val="20"/>
        </w:rPr>
        <w:t xml:space="preserve"> of the UK housing stock</w:t>
      </w:r>
      <w:r>
        <w:rPr>
          <w:color w:val="000000"/>
          <w:sz w:val="20"/>
          <w:szCs w:val="20"/>
        </w:rPr>
        <w:t>. Indoor and Built Environment</w:t>
      </w:r>
      <w:r w:rsidR="008F394E">
        <w:rPr>
          <w:color w:val="000000"/>
          <w:sz w:val="20"/>
          <w:szCs w:val="20"/>
        </w:rPr>
        <w:t>,</w:t>
      </w:r>
      <w:r w:rsidR="008F394E" w:rsidRPr="008F394E">
        <w:rPr>
          <w:color w:val="000000"/>
          <w:sz w:val="20"/>
          <w:szCs w:val="20"/>
        </w:rPr>
        <w:t xml:space="preserve"> 23</w:t>
      </w:r>
      <w:r w:rsidR="008F394E">
        <w:rPr>
          <w:color w:val="000000"/>
          <w:sz w:val="20"/>
          <w:szCs w:val="20"/>
        </w:rPr>
        <w:t>,</w:t>
      </w:r>
      <w:r w:rsidR="008F394E" w:rsidRPr="008F394E">
        <w:rPr>
          <w:color w:val="000000"/>
          <w:sz w:val="20"/>
          <w:szCs w:val="20"/>
        </w:rPr>
        <w:t xml:space="preserve"> no. 3 340-352</w:t>
      </w:r>
    </w:p>
    <w:p w14:paraId="091A10C0" w14:textId="41034C95" w:rsidR="00977439" w:rsidRDefault="00977439">
      <w:pPr>
        <w:spacing w:before="120" w:after="120" w:line="240" w:lineRule="auto"/>
        <w:jc w:val="left"/>
        <w:divId w:val="434059591"/>
        <w:rPr>
          <w:sz w:val="20"/>
          <w:szCs w:val="20"/>
        </w:rPr>
      </w:pPr>
      <w:r w:rsidRPr="00977439">
        <w:rPr>
          <w:sz w:val="20"/>
          <w:szCs w:val="20"/>
        </w:rPr>
        <w:t>Sinnott</w:t>
      </w:r>
      <w:r>
        <w:rPr>
          <w:sz w:val="20"/>
          <w:szCs w:val="20"/>
        </w:rPr>
        <w:t>,</w:t>
      </w:r>
      <w:r w:rsidRPr="00977439">
        <w:rPr>
          <w:sz w:val="20"/>
          <w:szCs w:val="20"/>
        </w:rPr>
        <w:t xml:space="preserve"> D</w:t>
      </w:r>
      <w:r>
        <w:rPr>
          <w:sz w:val="20"/>
          <w:szCs w:val="20"/>
        </w:rPr>
        <w:t>.</w:t>
      </w:r>
      <w:r w:rsidRPr="00977439">
        <w:rPr>
          <w:sz w:val="20"/>
          <w:szCs w:val="20"/>
        </w:rPr>
        <w:t>, Dyer</w:t>
      </w:r>
      <w:r>
        <w:rPr>
          <w:sz w:val="20"/>
          <w:szCs w:val="20"/>
        </w:rPr>
        <w:t>,</w:t>
      </w:r>
      <w:r w:rsidRPr="00977439">
        <w:rPr>
          <w:sz w:val="20"/>
          <w:szCs w:val="20"/>
        </w:rPr>
        <w:t xml:space="preserve"> M.</w:t>
      </w:r>
      <w:r>
        <w:rPr>
          <w:sz w:val="20"/>
          <w:szCs w:val="20"/>
        </w:rPr>
        <w:t>,</w:t>
      </w:r>
      <w:r w:rsidRPr="00977439">
        <w:rPr>
          <w:sz w:val="20"/>
          <w:szCs w:val="20"/>
        </w:rPr>
        <w:t xml:space="preserve"> 2012</w:t>
      </w:r>
      <w:r>
        <w:rPr>
          <w:sz w:val="20"/>
          <w:szCs w:val="20"/>
        </w:rPr>
        <w:t xml:space="preserve">. </w:t>
      </w:r>
      <w:r w:rsidRPr="00977439">
        <w:rPr>
          <w:sz w:val="20"/>
          <w:szCs w:val="20"/>
        </w:rPr>
        <w:t>Air-tightness field data for dwellings in Ireland. Built Environment</w:t>
      </w:r>
      <w:r w:rsidR="00884BBF">
        <w:rPr>
          <w:sz w:val="20"/>
          <w:szCs w:val="20"/>
        </w:rPr>
        <w:t>,</w:t>
      </w:r>
      <w:r w:rsidR="00884BBF" w:rsidRPr="00977439">
        <w:rPr>
          <w:sz w:val="20"/>
          <w:szCs w:val="20"/>
        </w:rPr>
        <w:t xml:space="preserve"> 51:269</w:t>
      </w:r>
      <w:r w:rsidRPr="00977439">
        <w:rPr>
          <w:sz w:val="20"/>
          <w:szCs w:val="20"/>
        </w:rPr>
        <w:t>-75</w:t>
      </w:r>
    </w:p>
    <w:p w14:paraId="7EA3884C" w14:textId="2F50EC97" w:rsidR="005E4D0A" w:rsidRDefault="005E4D0A" w:rsidP="005E4D0A">
      <w:pPr>
        <w:spacing w:before="120" w:after="120" w:line="240" w:lineRule="auto"/>
        <w:jc w:val="left"/>
        <w:divId w:val="434059591"/>
        <w:rPr>
          <w:sz w:val="20"/>
          <w:szCs w:val="20"/>
        </w:rPr>
      </w:pPr>
      <w:r w:rsidRPr="005E4D0A">
        <w:rPr>
          <w:sz w:val="20"/>
          <w:szCs w:val="20"/>
        </w:rPr>
        <w:t>Stephen, R. K., 2000. Airtightness in UK Dwellings. BRE Information Paper IP 1/00. Garston, Watford, Building Research Establishment.</w:t>
      </w:r>
    </w:p>
    <w:p w14:paraId="48015A16" w14:textId="77777777" w:rsidR="00094D55" w:rsidRPr="00D35F39" w:rsidRDefault="00094D55">
      <w:pPr>
        <w:spacing w:before="120" w:after="120" w:line="240" w:lineRule="auto"/>
        <w:jc w:val="left"/>
        <w:divId w:val="434059591"/>
        <w:rPr>
          <w:sz w:val="20"/>
          <w:szCs w:val="20"/>
        </w:rPr>
      </w:pPr>
      <w:r w:rsidRPr="00D35F39">
        <w:rPr>
          <w:sz w:val="20"/>
          <w:szCs w:val="20"/>
        </w:rPr>
        <w:lastRenderedPageBreak/>
        <w:t>Summerfield, A. J., Lowe, R. J., Bruhns, H. R., Caeiro, J. A., Steadman, J. P., Oreszczyn, T.</w:t>
      </w:r>
      <w:r w:rsidR="00211B7C" w:rsidRPr="00D35F39">
        <w:rPr>
          <w:sz w:val="20"/>
          <w:szCs w:val="20"/>
        </w:rPr>
        <w:t>,</w:t>
      </w:r>
      <w:r w:rsidRPr="00D35F39">
        <w:rPr>
          <w:sz w:val="20"/>
          <w:szCs w:val="20"/>
        </w:rPr>
        <w:t xml:space="preserve"> 2007</w:t>
      </w:r>
      <w:r w:rsidR="00211B7C" w:rsidRPr="00D35F39">
        <w:rPr>
          <w:sz w:val="20"/>
          <w:szCs w:val="20"/>
        </w:rPr>
        <w:t>.</w:t>
      </w:r>
      <w:r w:rsidRPr="00D35F39">
        <w:rPr>
          <w:sz w:val="20"/>
          <w:szCs w:val="20"/>
        </w:rPr>
        <w:t xml:space="preserve"> Milton Keynes Energy Park revisited: changes in internal temperatures and energy usage. Energy and Buildings, </w:t>
      </w:r>
      <w:r w:rsidRPr="00D35F39">
        <w:rPr>
          <w:iCs/>
          <w:sz w:val="20"/>
          <w:szCs w:val="20"/>
        </w:rPr>
        <w:t>and Buildings</w:t>
      </w:r>
      <w:r w:rsidRPr="00D35F39">
        <w:rPr>
          <w:sz w:val="20"/>
          <w:szCs w:val="20"/>
        </w:rPr>
        <w:t xml:space="preserve">, </w:t>
      </w:r>
      <w:r w:rsidRPr="00D35F39">
        <w:rPr>
          <w:iCs/>
          <w:sz w:val="20"/>
          <w:szCs w:val="20"/>
        </w:rPr>
        <w:t>39</w:t>
      </w:r>
      <w:r w:rsidRPr="00D35F39">
        <w:rPr>
          <w:sz w:val="20"/>
          <w:szCs w:val="20"/>
        </w:rPr>
        <w:t>(7), 783–791. doi:10.1016/j.enbuild.2007.02.39 (7</w:t>
      </w:r>
    </w:p>
    <w:p w14:paraId="76E9CAA4" w14:textId="77777777" w:rsidR="00094D55" w:rsidRPr="00D35F39" w:rsidRDefault="00094D55" w:rsidP="00094D55">
      <w:pPr>
        <w:spacing w:before="120" w:after="120" w:line="240" w:lineRule="auto"/>
        <w:jc w:val="left"/>
        <w:divId w:val="434059591"/>
        <w:rPr>
          <w:color w:val="000000"/>
          <w:sz w:val="20"/>
          <w:szCs w:val="20"/>
        </w:rPr>
      </w:pPr>
      <w:r w:rsidRPr="00D35F39">
        <w:rPr>
          <w:color w:val="000000"/>
          <w:sz w:val="20"/>
          <w:szCs w:val="20"/>
        </w:rPr>
        <w:t>Thomson</w:t>
      </w:r>
      <w:r w:rsidR="00211B7C" w:rsidRPr="00D35F39">
        <w:rPr>
          <w:color w:val="000000"/>
          <w:sz w:val="20"/>
          <w:szCs w:val="20"/>
        </w:rPr>
        <w:t>,</w:t>
      </w:r>
      <w:r w:rsidRPr="00D35F39">
        <w:rPr>
          <w:color w:val="000000"/>
          <w:sz w:val="20"/>
          <w:szCs w:val="20"/>
        </w:rPr>
        <w:t xml:space="preserve"> H</w:t>
      </w:r>
      <w:r w:rsidR="00211B7C" w:rsidRPr="00D35F39">
        <w:rPr>
          <w:color w:val="000000"/>
          <w:sz w:val="20"/>
          <w:szCs w:val="20"/>
        </w:rPr>
        <w:t>.</w:t>
      </w:r>
      <w:r w:rsidRPr="00D35F39">
        <w:rPr>
          <w:color w:val="000000"/>
          <w:sz w:val="20"/>
          <w:szCs w:val="20"/>
        </w:rPr>
        <w:t>, Thomas</w:t>
      </w:r>
      <w:r w:rsidR="00211B7C" w:rsidRPr="00D35F39">
        <w:rPr>
          <w:color w:val="000000"/>
          <w:sz w:val="20"/>
          <w:szCs w:val="20"/>
        </w:rPr>
        <w:t>,</w:t>
      </w:r>
      <w:r w:rsidRPr="00D35F39">
        <w:rPr>
          <w:color w:val="000000"/>
          <w:sz w:val="20"/>
          <w:szCs w:val="20"/>
        </w:rPr>
        <w:t xml:space="preserve"> S</w:t>
      </w:r>
      <w:r w:rsidR="00211B7C" w:rsidRPr="00D35F39">
        <w:rPr>
          <w:color w:val="000000"/>
          <w:sz w:val="20"/>
          <w:szCs w:val="20"/>
        </w:rPr>
        <w:t>.</w:t>
      </w:r>
      <w:r w:rsidRPr="00D35F39">
        <w:rPr>
          <w:color w:val="000000"/>
          <w:sz w:val="20"/>
          <w:szCs w:val="20"/>
        </w:rPr>
        <w:t>, Sellstrom</w:t>
      </w:r>
      <w:r w:rsidR="00211B7C" w:rsidRPr="00D35F39">
        <w:rPr>
          <w:color w:val="000000"/>
          <w:sz w:val="20"/>
          <w:szCs w:val="20"/>
        </w:rPr>
        <w:t>,</w:t>
      </w:r>
      <w:r w:rsidRPr="00D35F39">
        <w:rPr>
          <w:color w:val="000000"/>
          <w:sz w:val="20"/>
          <w:szCs w:val="20"/>
        </w:rPr>
        <w:t xml:space="preserve"> E</w:t>
      </w:r>
      <w:r w:rsidR="00211B7C" w:rsidRPr="00D35F39">
        <w:rPr>
          <w:color w:val="000000"/>
          <w:sz w:val="20"/>
          <w:szCs w:val="20"/>
        </w:rPr>
        <w:t>.</w:t>
      </w:r>
      <w:r w:rsidRPr="00D35F39">
        <w:rPr>
          <w:color w:val="000000"/>
          <w:sz w:val="20"/>
          <w:szCs w:val="20"/>
        </w:rPr>
        <w:t>,</w:t>
      </w:r>
      <w:r w:rsidR="00211B7C" w:rsidRPr="00D35F39">
        <w:rPr>
          <w:color w:val="000000"/>
          <w:sz w:val="20"/>
          <w:szCs w:val="20"/>
        </w:rPr>
        <w:t xml:space="preserve"> 2013. </w:t>
      </w:r>
      <w:r w:rsidRPr="00D35F39">
        <w:rPr>
          <w:color w:val="000000"/>
          <w:sz w:val="20"/>
          <w:szCs w:val="20"/>
        </w:rPr>
        <w:t>Housing improvements for health and associated socio-economic outcomes. Cochrane Database Syst Rev; 2:CD008657. doi:10.1002/14651858.CD008657.pub2</w:t>
      </w:r>
    </w:p>
    <w:p w14:paraId="020FEED1" w14:textId="77777777" w:rsidR="006F6B23" w:rsidRPr="00D35F39" w:rsidRDefault="006F6B23" w:rsidP="00094D55">
      <w:pPr>
        <w:spacing w:before="120" w:after="120" w:line="240" w:lineRule="auto"/>
        <w:jc w:val="left"/>
        <w:divId w:val="434059591"/>
        <w:rPr>
          <w:sz w:val="20"/>
          <w:szCs w:val="20"/>
        </w:rPr>
      </w:pPr>
      <w:r w:rsidRPr="00D35F39">
        <w:rPr>
          <w:sz w:val="20"/>
          <w:szCs w:val="20"/>
        </w:rPr>
        <w:t>UKERC</w:t>
      </w:r>
      <w:r w:rsidR="00A9125F" w:rsidRPr="00D35F39">
        <w:rPr>
          <w:sz w:val="20"/>
          <w:szCs w:val="20"/>
        </w:rPr>
        <w:t>,</w:t>
      </w:r>
      <w:r w:rsidRPr="00D35F39">
        <w:rPr>
          <w:sz w:val="20"/>
          <w:szCs w:val="20"/>
        </w:rPr>
        <w:t xml:space="preserve"> 201</w:t>
      </w:r>
      <w:r w:rsidR="00A9125F" w:rsidRPr="00D35F39">
        <w:rPr>
          <w:sz w:val="20"/>
          <w:szCs w:val="20"/>
        </w:rPr>
        <w:t xml:space="preserve">3. Research Report: the UK Energy system in 2050: Comparing Low-Carbon, </w:t>
      </w:r>
      <w:r w:rsidR="002E6809" w:rsidRPr="00D35F39">
        <w:rPr>
          <w:sz w:val="20"/>
          <w:szCs w:val="20"/>
        </w:rPr>
        <w:t>Resilient</w:t>
      </w:r>
      <w:r w:rsidR="00A9125F" w:rsidRPr="00D35F39">
        <w:rPr>
          <w:sz w:val="20"/>
          <w:szCs w:val="20"/>
        </w:rPr>
        <w:t xml:space="preserve"> Scenarios. Last accessed 1</w:t>
      </w:r>
      <w:r w:rsidR="00A9125F" w:rsidRPr="00D35F39">
        <w:rPr>
          <w:sz w:val="20"/>
          <w:szCs w:val="20"/>
          <w:vertAlign w:val="superscript"/>
        </w:rPr>
        <w:t>st</w:t>
      </w:r>
      <w:r w:rsidR="00A9125F" w:rsidRPr="00D35F39">
        <w:rPr>
          <w:sz w:val="20"/>
          <w:szCs w:val="20"/>
        </w:rPr>
        <w:t xml:space="preserve"> February 2015 at www.ukerc.ac.uk</w:t>
      </w:r>
    </w:p>
    <w:p w14:paraId="38497782" w14:textId="77777777" w:rsidR="00094D55" w:rsidRPr="00D35F39" w:rsidRDefault="00094D55" w:rsidP="00094D55">
      <w:pPr>
        <w:spacing w:before="120" w:after="120" w:line="240" w:lineRule="auto"/>
        <w:jc w:val="left"/>
        <w:divId w:val="434059591"/>
        <w:rPr>
          <w:sz w:val="20"/>
          <w:szCs w:val="20"/>
        </w:rPr>
      </w:pPr>
      <w:r w:rsidRPr="00D35F39">
        <w:rPr>
          <w:sz w:val="20"/>
          <w:szCs w:val="20"/>
        </w:rPr>
        <w:t>Wilkinson</w:t>
      </w:r>
      <w:r w:rsidR="00A9125F" w:rsidRPr="00D35F39">
        <w:rPr>
          <w:sz w:val="20"/>
          <w:szCs w:val="20"/>
        </w:rPr>
        <w:t>,</w:t>
      </w:r>
      <w:r w:rsidRPr="00D35F39">
        <w:rPr>
          <w:sz w:val="20"/>
          <w:szCs w:val="20"/>
        </w:rPr>
        <w:t xml:space="preserve"> P</w:t>
      </w:r>
      <w:r w:rsidR="00A9125F" w:rsidRPr="00D35F39">
        <w:rPr>
          <w:sz w:val="20"/>
          <w:szCs w:val="20"/>
        </w:rPr>
        <w:t>.</w:t>
      </w:r>
      <w:r w:rsidRPr="00D35F39">
        <w:rPr>
          <w:sz w:val="20"/>
          <w:szCs w:val="20"/>
        </w:rPr>
        <w:t>, Landon</w:t>
      </w:r>
      <w:r w:rsidR="00A9125F" w:rsidRPr="00D35F39">
        <w:rPr>
          <w:sz w:val="20"/>
          <w:szCs w:val="20"/>
        </w:rPr>
        <w:t>,</w:t>
      </w:r>
      <w:r w:rsidRPr="00D35F39">
        <w:rPr>
          <w:sz w:val="20"/>
          <w:szCs w:val="20"/>
        </w:rPr>
        <w:t xml:space="preserve"> M</w:t>
      </w:r>
      <w:r w:rsidR="00A9125F" w:rsidRPr="00D35F39">
        <w:rPr>
          <w:sz w:val="20"/>
          <w:szCs w:val="20"/>
        </w:rPr>
        <w:t>.</w:t>
      </w:r>
      <w:r w:rsidRPr="00D35F39">
        <w:rPr>
          <w:sz w:val="20"/>
          <w:szCs w:val="20"/>
        </w:rPr>
        <w:t>, Armstrong B</w:t>
      </w:r>
      <w:r w:rsidR="00A9125F" w:rsidRPr="00D35F39">
        <w:rPr>
          <w:sz w:val="20"/>
          <w:szCs w:val="20"/>
        </w:rPr>
        <w:t>.</w:t>
      </w:r>
      <w:r w:rsidRPr="00D35F39">
        <w:rPr>
          <w:sz w:val="20"/>
          <w:szCs w:val="20"/>
        </w:rPr>
        <w:t xml:space="preserve">, </w:t>
      </w:r>
      <w:r w:rsidR="008F6CB0" w:rsidRPr="00D35F39">
        <w:rPr>
          <w:sz w:val="20"/>
          <w:szCs w:val="20"/>
        </w:rPr>
        <w:t xml:space="preserve">2001. </w:t>
      </w:r>
      <w:r w:rsidRPr="00D35F39">
        <w:rPr>
          <w:sz w:val="20"/>
          <w:szCs w:val="20"/>
        </w:rPr>
        <w:t>Cold comfort: the social and environmental determinants of excess winter death in England, 1986-1996. York, UK: Joseph Rowntree Foundation.</w:t>
      </w:r>
    </w:p>
    <w:p w14:paraId="757A76D0" w14:textId="77777777" w:rsidR="00094D55" w:rsidRPr="00D35F39" w:rsidRDefault="00094D55" w:rsidP="00094D55">
      <w:pPr>
        <w:spacing w:before="120" w:after="120" w:line="240" w:lineRule="auto"/>
        <w:jc w:val="left"/>
        <w:divId w:val="434059591"/>
        <w:rPr>
          <w:sz w:val="20"/>
          <w:szCs w:val="20"/>
        </w:rPr>
      </w:pPr>
      <w:r w:rsidRPr="00D35F39">
        <w:rPr>
          <w:sz w:val="20"/>
          <w:szCs w:val="20"/>
        </w:rPr>
        <w:t>Wilkinson, P., Smith, K.R., Davies, M., Adair, H., Armstrong, B.G., Barrett, M., Bruce, N., Haines, A., Hamilton, I., Oreszczyn, T., Ridley, I., Tonne, C.</w:t>
      </w:r>
      <w:r w:rsidR="008F394E" w:rsidRPr="00D35F39">
        <w:rPr>
          <w:sz w:val="20"/>
          <w:szCs w:val="20"/>
        </w:rPr>
        <w:t>, Chalabi</w:t>
      </w:r>
      <w:r w:rsidRPr="00D35F39">
        <w:rPr>
          <w:sz w:val="20"/>
          <w:szCs w:val="20"/>
        </w:rPr>
        <w:t>, Z.</w:t>
      </w:r>
      <w:r w:rsidR="00A9125F" w:rsidRPr="00D35F39">
        <w:rPr>
          <w:sz w:val="20"/>
          <w:szCs w:val="20"/>
        </w:rPr>
        <w:t>,</w:t>
      </w:r>
      <w:r w:rsidRPr="00D35F39">
        <w:rPr>
          <w:sz w:val="20"/>
          <w:szCs w:val="20"/>
        </w:rPr>
        <w:t xml:space="preserve"> 2009. Public health benefits of strategies to reduce greenhouse-gas emissions: household energy. The </w:t>
      </w:r>
      <w:r w:rsidRPr="00D35F39">
        <w:rPr>
          <w:iCs/>
          <w:sz w:val="20"/>
          <w:szCs w:val="20"/>
        </w:rPr>
        <w:t>Lancet</w:t>
      </w:r>
      <w:r w:rsidRPr="00D35F39">
        <w:rPr>
          <w:sz w:val="20"/>
          <w:szCs w:val="20"/>
        </w:rPr>
        <w:t>, 374 (9705), 1917–29.</w:t>
      </w:r>
    </w:p>
    <w:p w14:paraId="0C498D19" w14:textId="2D78C933" w:rsidR="00B36FFD" w:rsidRPr="00FA204D" w:rsidRDefault="008F6CB0" w:rsidP="00221D7F">
      <w:pPr>
        <w:spacing w:before="120" w:after="120" w:line="240" w:lineRule="auto"/>
        <w:jc w:val="left"/>
      </w:pPr>
      <w:r w:rsidRPr="00D35F39">
        <w:rPr>
          <w:sz w:val="20"/>
          <w:szCs w:val="20"/>
        </w:rPr>
        <w:t>Williams</w:t>
      </w:r>
      <w:r w:rsidR="00A9125F" w:rsidRPr="00D35F39">
        <w:rPr>
          <w:sz w:val="20"/>
          <w:szCs w:val="20"/>
        </w:rPr>
        <w:t>,</w:t>
      </w:r>
      <w:r w:rsidRPr="00D35F39">
        <w:rPr>
          <w:sz w:val="20"/>
          <w:szCs w:val="20"/>
        </w:rPr>
        <w:t xml:space="preserve"> M. L.</w:t>
      </w:r>
      <w:r w:rsidR="00A9125F" w:rsidRPr="00D35F39">
        <w:rPr>
          <w:sz w:val="20"/>
          <w:szCs w:val="20"/>
        </w:rPr>
        <w:t>,</w:t>
      </w:r>
      <w:r w:rsidRPr="00D35F39">
        <w:rPr>
          <w:sz w:val="20"/>
          <w:szCs w:val="20"/>
        </w:rPr>
        <w:t xml:space="preserve"> 2007. UK air quality in 2050: Synergies with climate change policies. Environmental Science &amp; Policy 10, 169-175.</w:t>
      </w:r>
    </w:p>
    <w:sectPr w:rsidR="00B36FFD" w:rsidRPr="00FA204D" w:rsidSect="0018458F">
      <w:headerReference w:type="default" r:id="rId30"/>
      <w:footerReference w:type="default" r:id="rId31"/>
      <w:pgSz w:w="11906" w:h="16838" w:code="9"/>
      <w:pgMar w:top="1418" w:right="1418" w:bottom="1418" w:left="426" w:header="851" w:footer="851" w:gutter="851"/>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41BB9" w14:textId="77777777" w:rsidR="008C2B0E" w:rsidRDefault="008C2B0E" w:rsidP="00B86055">
      <w:pPr>
        <w:spacing w:after="0" w:line="240" w:lineRule="auto"/>
      </w:pPr>
      <w:r>
        <w:separator/>
      </w:r>
    </w:p>
  </w:endnote>
  <w:endnote w:type="continuationSeparator" w:id="0">
    <w:p w14:paraId="5754D372" w14:textId="77777777" w:rsidR="008C2B0E" w:rsidRDefault="008C2B0E" w:rsidP="00B86055">
      <w:pPr>
        <w:spacing w:after="0" w:line="240" w:lineRule="auto"/>
      </w:pPr>
      <w:r>
        <w:continuationSeparator/>
      </w:r>
    </w:p>
  </w:endnote>
  <w:endnote w:type="continuationNotice" w:id="1">
    <w:p w14:paraId="0932293D" w14:textId="77777777" w:rsidR="008C2B0E" w:rsidRDefault="008C2B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HGｺﾞｼｯｸE">
    <w:altName w:val="Times New Roman"/>
    <w:panose1 w:val="00000000000000000000"/>
    <w:charset w:val="00"/>
    <w:family w:val="roman"/>
    <w:notTrueType/>
    <w:pitch w:val="default"/>
  </w:font>
  <w:font w:name="Caecilia-Roman">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8016545"/>
      <w:docPartObj>
        <w:docPartGallery w:val="Page Numbers (Bottom of Page)"/>
        <w:docPartUnique/>
      </w:docPartObj>
    </w:sdtPr>
    <w:sdtEndPr>
      <w:rPr>
        <w:noProof/>
      </w:rPr>
    </w:sdtEndPr>
    <w:sdtContent>
      <w:p w14:paraId="13052F48" w14:textId="77777777" w:rsidR="00E1322D" w:rsidRDefault="00E1322D">
        <w:pPr>
          <w:pStyle w:val="Footer"/>
          <w:jc w:val="right"/>
        </w:pPr>
        <w:r>
          <w:fldChar w:fldCharType="begin"/>
        </w:r>
        <w:r>
          <w:instrText xml:space="preserve"> PAGE   \* MERGEFORMAT </w:instrText>
        </w:r>
        <w:r>
          <w:fldChar w:fldCharType="separate"/>
        </w:r>
        <w:r w:rsidR="00E25B86">
          <w:rPr>
            <w:noProof/>
          </w:rPr>
          <w:t>1</w:t>
        </w:r>
        <w:r>
          <w:rPr>
            <w:noProof/>
          </w:rPr>
          <w:fldChar w:fldCharType="end"/>
        </w:r>
      </w:p>
    </w:sdtContent>
  </w:sdt>
  <w:p w14:paraId="48F39248" w14:textId="77777777" w:rsidR="00E1322D" w:rsidRDefault="00E132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5A5F0" w14:textId="77777777" w:rsidR="008C2B0E" w:rsidRDefault="008C2B0E" w:rsidP="00B86055">
      <w:pPr>
        <w:spacing w:after="0" w:line="240" w:lineRule="auto"/>
      </w:pPr>
      <w:r>
        <w:separator/>
      </w:r>
    </w:p>
  </w:footnote>
  <w:footnote w:type="continuationSeparator" w:id="0">
    <w:p w14:paraId="0C79775F" w14:textId="77777777" w:rsidR="008C2B0E" w:rsidRDefault="008C2B0E" w:rsidP="00B86055">
      <w:pPr>
        <w:spacing w:after="0" w:line="240" w:lineRule="auto"/>
      </w:pPr>
      <w:r>
        <w:continuationSeparator/>
      </w:r>
    </w:p>
  </w:footnote>
  <w:footnote w:type="continuationNotice" w:id="1">
    <w:p w14:paraId="32FA113E" w14:textId="77777777" w:rsidR="008C2B0E" w:rsidRDefault="008C2B0E">
      <w:pPr>
        <w:spacing w:after="0" w:line="240" w:lineRule="auto"/>
      </w:pPr>
    </w:p>
  </w:footnote>
  <w:footnote w:id="2">
    <w:p w14:paraId="5ADF0A66" w14:textId="77777777" w:rsidR="003801B8" w:rsidRDefault="003801B8" w:rsidP="003801B8">
      <w:pPr>
        <w:pStyle w:val="FootnoteText"/>
      </w:pPr>
      <w:r>
        <w:rPr>
          <w:rStyle w:val="FootnoteReference"/>
        </w:rPr>
        <w:footnoteRef/>
      </w:r>
      <w:r>
        <w:t xml:space="preserve"> </w:t>
      </w:r>
      <w:r w:rsidRPr="00096438">
        <w:t>SAP</w:t>
      </w:r>
      <w:r>
        <w:t>:</w:t>
      </w:r>
      <w:r w:rsidRPr="00096438">
        <w:t xml:space="preserve"> The Government’s Standard Assessment Procedure for Energy Rating of Dwellings</w:t>
      </w:r>
      <w:r>
        <w:t xml:space="preserve"> </w:t>
      </w:r>
      <w:r w:rsidRPr="009A3134">
        <w:rPr>
          <w:rFonts w:eastAsia="HGｺﾞｼｯｸE"/>
          <w:bCs/>
        </w:rPr>
        <w:t>(BRE</w:t>
      </w:r>
      <w:r>
        <w:rPr>
          <w:rFonts w:eastAsia="HGｺﾞｼｯｸE"/>
          <w:bCs/>
        </w:rPr>
        <w:t>,</w:t>
      </w:r>
      <w:r w:rsidRPr="009A3134">
        <w:rPr>
          <w:rFonts w:eastAsia="HGｺﾞｼｯｸE"/>
          <w:bCs/>
        </w:rPr>
        <w:t xml:space="preserve"> 20</w:t>
      </w:r>
      <w:r>
        <w:rPr>
          <w:rFonts w:eastAsia="HGｺﾞｼｯｸE"/>
          <w:bCs/>
        </w:rPr>
        <w:t>12</w:t>
      </w:r>
      <w:r w:rsidRPr="009A3134">
        <w:rPr>
          <w:rFonts w:eastAsia="HGｺﾞｼｯｸE"/>
          <w:bCs/>
        </w:rPr>
        <w:t>)</w:t>
      </w:r>
    </w:p>
  </w:footnote>
  <w:footnote w:id="3">
    <w:p w14:paraId="55711339" w14:textId="77777777" w:rsidR="00E1322D" w:rsidRDefault="00E1322D" w:rsidP="0091643F">
      <w:pPr>
        <w:pStyle w:val="FootnoteText"/>
      </w:pPr>
      <w:r>
        <w:rPr>
          <w:rStyle w:val="FootnoteReference"/>
        </w:rPr>
        <w:footnoteRef/>
      </w:r>
      <w:r>
        <w:t xml:space="preserve"> The E-value represents the</w:t>
      </w:r>
      <w:r w:rsidRPr="00146F59">
        <w:t xml:space="preserve"> dwelling heat transfer characteristic</w:t>
      </w:r>
      <w:r>
        <w:t xml:space="preserve">, obtained by combining the </w:t>
      </w:r>
      <w:r w:rsidRPr="00146F59">
        <w:t>estimated fabric and ventilation performance with the heat</w:t>
      </w:r>
      <w:r>
        <w:t>ing</w:t>
      </w:r>
      <w:r w:rsidRPr="00146F59">
        <w:t xml:space="preserve"> system (after Oreszczyn et al,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AF7F9" w14:textId="77777777" w:rsidR="00E1322D" w:rsidRDefault="00E1322D" w:rsidP="00D809D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B67EF"/>
    <w:multiLevelType w:val="hybridMultilevel"/>
    <w:tmpl w:val="01F0C59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5BD15A5"/>
    <w:multiLevelType w:val="hybridMultilevel"/>
    <w:tmpl w:val="33D26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D922E3"/>
    <w:multiLevelType w:val="hybridMultilevel"/>
    <w:tmpl w:val="4CCC7DF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BB2247B"/>
    <w:multiLevelType w:val="hybridMultilevel"/>
    <w:tmpl w:val="9356C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D26751"/>
    <w:multiLevelType w:val="multilevel"/>
    <w:tmpl w:val="CE8A44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2B2C7EBD"/>
    <w:multiLevelType w:val="hybridMultilevel"/>
    <w:tmpl w:val="DCCC3E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nsid w:val="307B1C25"/>
    <w:multiLevelType w:val="multilevel"/>
    <w:tmpl w:val="969C61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9536C1C"/>
    <w:multiLevelType w:val="hybridMultilevel"/>
    <w:tmpl w:val="233AB7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C832B38"/>
    <w:multiLevelType w:val="hybridMultilevel"/>
    <w:tmpl w:val="63BC7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1842EE"/>
    <w:multiLevelType w:val="hybridMultilevel"/>
    <w:tmpl w:val="40488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49E02F3"/>
    <w:multiLevelType w:val="hybridMultilevel"/>
    <w:tmpl w:val="AF587A04"/>
    <w:lvl w:ilvl="0" w:tplc="22906B7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C4E63C9"/>
    <w:multiLevelType w:val="hybridMultilevel"/>
    <w:tmpl w:val="3CA4BB9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5E260C5"/>
    <w:multiLevelType w:val="hybridMultilevel"/>
    <w:tmpl w:val="47168AA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6DBC1721"/>
    <w:multiLevelType w:val="hybridMultilevel"/>
    <w:tmpl w:val="17C41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5871AFF"/>
    <w:multiLevelType w:val="hybridMultilevel"/>
    <w:tmpl w:val="FE22F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68A5E43"/>
    <w:multiLevelType w:val="multilevel"/>
    <w:tmpl w:val="4B4C28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85E060D"/>
    <w:multiLevelType w:val="hybridMultilevel"/>
    <w:tmpl w:val="FCC6E6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7"/>
  </w:num>
  <w:num w:numId="3">
    <w:abstractNumId w:val="0"/>
  </w:num>
  <w:num w:numId="4">
    <w:abstractNumId w:val="14"/>
  </w:num>
  <w:num w:numId="5">
    <w:abstractNumId w:val="13"/>
  </w:num>
  <w:num w:numId="6">
    <w:abstractNumId w:val="3"/>
  </w:num>
  <w:num w:numId="7">
    <w:abstractNumId w:val="8"/>
  </w:num>
  <w:num w:numId="8">
    <w:abstractNumId w:val="10"/>
  </w:num>
  <w:num w:numId="9">
    <w:abstractNumId w:val="5"/>
  </w:num>
  <w:num w:numId="10">
    <w:abstractNumId w:val="1"/>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5"/>
  </w:num>
  <w:num w:numId="23">
    <w:abstractNumId w:val="6"/>
  </w:num>
  <w:num w:numId="24">
    <w:abstractNumId w:val="12"/>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34D1506-D1FB-4E11-A889-A4E1B3D2DDF9}"/>
    <w:docVar w:name="dgnword-eventsink" w:val="231016632"/>
  </w:docVars>
  <w:rsids>
    <w:rsidRoot w:val="00B86055"/>
    <w:rsid w:val="000002E5"/>
    <w:rsid w:val="00000AB2"/>
    <w:rsid w:val="0000260A"/>
    <w:rsid w:val="00002BB8"/>
    <w:rsid w:val="00002E57"/>
    <w:rsid w:val="00003E66"/>
    <w:rsid w:val="00003F85"/>
    <w:rsid w:val="000052EA"/>
    <w:rsid w:val="00005C3A"/>
    <w:rsid w:val="00006218"/>
    <w:rsid w:val="000065AA"/>
    <w:rsid w:val="00006DB6"/>
    <w:rsid w:val="00007474"/>
    <w:rsid w:val="0001133B"/>
    <w:rsid w:val="000114E5"/>
    <w:rsid w:val="00012416"/>
    <w:rsid w:val="0001268E"/>
    <w:rsid w:val="00013DE5"/>
    <w:rsid w:val="000150E8"/>
    <w:rsid w:val="00015471"/>
    <w:rsid w:val="0001548B"/>
    <w:rsid w:val="00016DB7"/>
    <w:rsid w:val="000205B9"/>
    <w:rsid w:val="00020D40"/>
    <w:rsid w:val="00022112"/>
    <w:rsid w:val="00022DFA"/>
    <w:rsid w:val="0002319F"/>
    <w:rsid w:val="00023293"/>
    <w:rsid w:val="00023B08"/>
    <w:rsid w:val="00024301"/>
    <w:rsid w:val="00024CCF"/>
    <w:rsid w:val="000253D2"/>
    <w:rsid w:val="00025850"/>
    <w:rsid w:val="000277D0"/>
    <w:rsid w:val="000300B5"/>
    <w:rsid w:val="00030216"/>
    <w:rsid w:val="00033825"/>
    <w:rsid w:val="00035872"/>
    <w:rsid w:val="000358D4"/>
    <w:rsid w:val="00037CC0"/>
    <w:rsid w:val="00037F57"/>
    <w:rsid w:val="0004045D"/>
    <w:rsid w:val="00041397"/>
    <w:rsid w:val="000430C5"/>
    <w:rsid w:val="00043B90"/>
    <w:rsid w:val="00046795"/>
    <w:rsid w:val="00046C0F"/>
    <w:rsid w:val="00047E65"/>
    <w:rsid w:val="00047E87"/>
    <w:rsid w:val="00050428"/>
    <w:rsid w:val="00050B48"/>
    <w:rsid w:val="000514F4"/>
    <w:rsid w:val="000538F9"/>
    <w:rsid w:val="0005545A"/>
    <w:rsid w:val="0005644C"/>
    <w:rsid w:val="00056527"/>
    <w:rsid w:val="000576C7"/>
    <w:rsid w:val="00057A67"/>
    <w:rsid w:val="000607C6"/>
    <w:rsid w:val="000626E7"/>
    <w:rsid w:val="0006545D"/>
    <w:rsid w:val="00067457"/>
    <w:rsid w:val="0006768F"/>
    <w:rsid w:val="00067D6F"/>
    <w:rsid w:val="00070AB8"/>
    <w:rsid w:val="00070BFD"/>
    <w:rsid w:val="00071FE5"/>
    <w:rsid w:val="000749AB"/>
    <w:rsid w:val="00074A37"/>
    <w:rsid w:val="000756F1"/>
    <w:rsid w:val="00075C52"/>
    <w:rsid w:val="00076617"/>
    <w:rsid w:val="000767D8"/>
    <w:rsid w:val="00077A9B"/>
    <w:rsid w:val="00077CE9"/>
    <w:rsid w:val="000808CA"/>
    <w:rsid w:val="00080972"/>
    <w:rsid w:val="00081505"/>
    <w:rsid w:val="00081BFA"/>
    <w:rsid w:val="00083A22"/>
    <w:rsid w:val="00084050"/>
    <w:rsid w:val="00084149"/>
    <w:rsid w:val="00084A20"/>
    <w:rsid w:val="00085706"/>
    <w:rsid w:val="00085921"/>
    <w:rsid w:val="00085BF2"/>
    <w:rsid w:val="00085FFB"/>
    <w:rsid w:val="000861EF"/>
    <w:rsid w:val="000863A0"/>
    <w:rsid w:val="00086B54"/>
    <w:rsid w:val="0009039C"/>
    <w:rsid w:val="00090A37"/>
    <w:rsid w:val="00091224"/>
    <w:rsid w:val="00094631"/>
    <w:rsid w:val="00094B97"/>
    <w:rsid w:val="00094D55"/>
    <w:rsid w:val="00094F28"/>
    <w:rsid w:val="00095A03"/>
    <w:rsid w:val="00095F8F"/>
    <w:rsid w:val="00096438"/>
    <w:rsid w:val="00096694"/>
    <w:rsid w:val="00096ABC"/>
    <w:rsid w:val="00096B10"/>
    <w:rsid w:val="000A073B"/>
    <w:rsid w:val="000A3BC5"/>
    <w:rsid w:val="000A4892"/>
    <w:rsid w:val="000A4E94"/>
    <w:rsid w:val="000A6FAA"/>
    <w:rsid w:val="000A7157"/>
    <w:rsid w:val="000B0629"/>
    <w:rsid w:val="000B0813"/>
    <w:rsid w:val="000B1235"/>
    <w:rsid w:val="000B1543"/>
    <w:rsid w:val="000B2F12"/>
    <w:rsid w:val="000B41E5"/>
    <w:rsid w:val="000B4AE4"/>
    <w:rsid w:val="000B4FEE"/>
    <w:rsid w:val="000B5087"/>
    <w:rsid w:val="000B5621"/>
    <w:rsid w:val="000B5B44"/>
    <w:rsid w:val="000B6E4B"/>
    <w:rsid w:val="000C0B61"/>
    <w:rsid w:val="000C14D1"/>
    <w:rsid w:val="000C49B7"/>
    <w:rsid w:val="000C4CAE"/>
    <w:rsid w:val="000C4ED8"/>
    <w:rsid w:val="000C5443"/>
    <w:rsid w:val="000C5678"/>
    <w:rsid w:val="000C615A"/>
    <w:rsid w:val="000C6EF4"/>
    <w:rsid w:val="000C6FDE"/>
    <w:rsid w:val="000C7AA9"/>
    <w:rsid w:val="000D16FB"/>
    <w:rsid w:val="000D27EE"/>
    <w:rsid w:val="000D30C6"/>
    <w:rsid w:val="000D32DD"/>
    <w:rsid w:val="000D39E7"/>
    <w:rsid w:val="000D4DAF"/>
    <w:rsid w:val="000D6BE9"/>
    <w:rsid w:val="000D785B"/>
    <w:rsid w:val="000D7906"/>
    <w:rsid w:val="000D7DA1"/>
    <w:rsid w:val="000E03B4"/>
    <w:rsid w:val="000E0529"/>
    <w:rsid w:val="000E05F1"/>
    <w:rsid w:val="000E0D73"/>
    <w:rsid w:val="000E1D53"/>
    <w:rsid w:val="000E229E"/>
    <w:rsid w:val="000E327D"/>
    <w:rsid w:val="000E397B"/>
    <w:rsid w:val="000E3F90"/>
    <w:rsid w:val="000E4250"/>
    <w:rsid w:val="000E51B6"/>
    <w:rsid w:val="000E5F0A"/>
    <w:rsid w:val="000E6404"/>
    <w:rsid w:val="000E6406"/>
    <w:rsid w:val="000F01E9"/>
    <w:rsid w:val="000F0DE4"/>
    <w:rsid w:val="000F1597"/>
    <w:rsid w:val="000F193B"/>
    <w:rsid w:val="000F1FF9"/>
    <w:rsid w:val="000F24CB"/>
    <w:rsid w:val="000F2785"/>
    <w:rsid w:val="000F4395"/>
    <w:rsid w:val="001004AB"/>
    <w:rsid w:val="001005B7"/>
    <w:rsid w:val="00100737"/>
    <w:rsid w:val="00100A42"/>
    <w:rsid w:val="00100D02"/>
    <w:rsid w:val="00102363"/>
    <w:rsid w:val="00103FA2"/>
    <w:rsid w:val="001047EE"/>
    <w:rsid w:val="00104C4D"/>
    <w:rsid w:val="00105056"/>
    <w:rsid w:val="001070CB"/>
    <w:rsid w:val="001070EB"/>
    <w:rsid w:val="0010710D"/>
    <w:rsid w:val="00110801"/>
    <w:rsid w:val="00110B88"/>
    <w:rsid w:val="001110CE"/>
    <w:rsid w:val="001116A1"/>
    <w:rsid w:val="00111993"/>
    <w:rsid w:val="00112529"/>
    <w:rsid w:val="001125B9"/>
    <w:rsid w:val="00112BE1"/>
    <w:rsid w:val="00113F4E"/>
    <w:rsid w:val="001142FA"/>
    <w:rsid w:val="00116B7D"/>
    <w:rsid w:val="001176F0"/>
    <w:rsid w:val="00122525"/>
    <w:rsid w:val="00122704"/>
    <w:rsid w:val="00123F24"/>
    <w:rsid w:val="001243E7"/>
    <w:rsid w:val="001247FB"/>
    <w:rsid w:val="00124919"/>
    <w:rsid w:val="00124A4D"/>
    <w:rsid w:val="0012506E"/>
    <w:rsid w:val="001258B8"/>
    <w:rsid w:val="00125A7C"/>
    <w:rsid w:val="001263C6"/>
    <w:rsid w:val="001278FB"/>
    <w:rsid w:val="00130608"/>
    <w:rsid w:val="00130B6B"/>
    <w:rsid w:val="0013123D"/>
    <w:rsid w:val="00131753"/>
    <w:rsid w:val="00131D44"/>
    <w:rsid w:val="00132A9A"/>
    <w:rsid w:val="00132B7D"/>
    <w:rsid w:val="00132FDF"/>
    <w:rsid w:val="001340D9"/>
    <w:rsid w:val="00136235"/>
    <w:rsid w:val="00136517"/>
    <w:rsid w:val="001419A8"/>
    <w:rsid w:val="00142405"/>
    <w:rsid w:val="00142CCD"/>
    <w:rsid w:val="001433CE"/>
    <w:rsid w:val="001447C1"/>
    <w:rsid w:val="0014485D"/>
    <w:rsid w:val="001466B6"/>
    <w:rsid w:val="001467F4"/>
    <w:rsid w:val="00146893"/>
    <w:rsid w:val="0014696F"/>
    <w:rsid w:val="00146F59"/>
    <w:rsid w:val="001507D4"/>
    <w:rsid w:val="001509DA"/>
    <w:rsid w:val="00151005"/>
    <w:rsid w:val="00151145"/>
    <w:rsid w:val="00151526"/>
    <w:rsid w:val="00151D02"/>
    <w:rsid w:val="001521EA"/>
    <w:rsid w:val="001522A0"/>
    <w:rsid w:val="00152598"/>
    <w:rsid w:val="00152B56"/>
    <w:rsid w:val="001566E4"/>
    <w:rsid w:val="0015679B"/>
    <w:rsid w:val="00156BB7"/>
    <w:rsid w:val="001573C8"/>
    <w:rsid w:val="001573D4"/>
    <w:rsid w:val="00160703"/>
    <w:rsid w:val="00160780"/>
    <w:rsid w:val="00161ECC"/>
    <w:rsid w:val="00162F9B"/>
    <w:rsid w:val="001632D9"/>
    <w:rsid w:val="00163AA3"/>
    <w:rsid w:val="00164FBA"/>
    <w:rsid w:val="00165033"/>
    <w:rsid w:val="00165041"/>
    <w:rsid w:val="00165B47"/>
    <w:rsid w:val="0016617B"/>
    <w:rsid w:val="00166F3E"/>
    <w:rsid w:val="00170C3A"/>
    <w:rsid w:val="00172675"/>
    <w:rsid w:val="00172989"/>
    <w:rsid w:val="00172AD6"/>
    <w:rsid w:val="001731F5"/>
    <w:rsid w:val="00173E18"/>
    <w:rsid w:val="0017649B"/>
    <w:rsid w:val="0017689A"/>
    <w:rsid w:val="00176A4F"/>
    <w:rsid w:val="001776BE"/>
    <w:rsid w:val="00177962"/>
    <w:rsid w:val="00177AA7"/>
    <w:rsid w:val="00177E8F"/>
    <w:rsid w:val="00177F62"/>
    <w:rsid w:val="001800BF"/>
    <w:rsid w:val="00181295"/>
    <w:rsid w:val="0018153F"/>
    <w:rsid w:val="001838E1"/>
    <w:rsid w:val="0018458F"/>
    <w:rsid w:val="00184716"/>
    <w:rsid w:val="00184BB3"/>
    <w:rsid w:val="0018543C"/>
    <w:rsid w:val="00186288"/>
    <w:rsid w:val="00186513"/>
    <w:rsid w:val="001868A1"/>
    <w:rsid w:val="00187008"/>
    <w:rsid w:val="001874F9"/>
    <w:rsid w:val="00187B63"/>
    <w:rsid w:val="00187FC5"/>
    <w:rsid w:val="00190EEC"/>
    <w:rsid w:val="0019112B"/>
    <w:rsid w:val="00191532"/>
    <w:rsid w:val="001926C4"/>
    <w:rsid w:val="00192EE0"/>
    <w:rsid w:val="00194960"/>
    <w:rsid w:val="00197E4C"/>
    <w:rsid w:val="001A2A02"/>
    <w:rsid w:val="001A2FDB"/>
    <w:rsid w:val="001A3341"/>
    <w:rsid w:val="001A35AD"/>
    <w:rsid w:val="001A47E7"/>
    <w:rsid w:val="001A4D26"/>
    <w:rsid w:val="001A5382"/>
    <w:rsid w:val="001A62B7"/>
    <w:rsid w:val="001A669B"/>
    <w:rsid w:val="001A7533"/>
    <w:rsid w:val="001A7AE1"/>
    <w:rsid w:val="001B03F2"/>
    <w:rsid w:val="001B0954"/>
    <w:rsid w:val="001B1B25"/>
    <w:rsid w:val="001B2039"/>
    <w:rsid w:val="001B2069"/>
    <w:rsid w:val="001B2A24"/>
    <w:rsid w:val="001B4708"/>
    <w:rsid w:val="001B5A19"/>
    <w:rsid w:val="001B6037"/>
    <w:rsid w:val="001B6135"/>
    <w:rsid w:val="001B72D2"/>
    <w:rsid w:val="001B748A"/>
    <w:rsid w:val="001C0245"/>
    <w:rsid w:val="001C03D3"/>
    <w:rsid w:val="001C05CD"/>
    <w:rsid w:val="001C0E04"/>
    <w:rsid w:val="001C2066"/>
    <w:rsid w:val="001C3680"/>
    <w:rsid w:val="001C37E6"/>
    <w:rsid w:val="001C414A"/>
    <w:rsid w:val="001C43C9"/>
    <w:rsid w:val="001C497C"/>
    <w:rsid w:val="001C5815"/>
    <w:rsid w:val="001C5917"/>
    <w:rsid w:val="001C64F7"/>
    <w:rsid w:val="001C6877"/>
    <w:rsid w:val="001C6E0A"/>
    <w:rsid w:val="001C6E25"/>
    <w:rsid w:val="001C7271"/>
    <w:rsid w:val="001D1CAC"/>
    <w:rsid w:val="001D1EE0"/>
    <w:rsid w:val="001D2081"/>
    <w:rsid w:val="001D57D0"/>
    <w:rsid w:val="001D5832"/>
    <w:rsid w:val="001D7ED8"/>
    <w:rsid w:val="001E03D2"/>
    <w:rsid w:val="001E11A0"/>
    <w:rsid w:val="001E1889"/>
    <w:rsid w:val="001E2212"/>
    <w:rsid w:val="001E2330"/>
    <w:rsid w:val="001E3C1A"/>
    <w:rsid w:val="001E4C90"/>
    <w:rsid w:val="001E4E4A"/>
    <w:rsid w:val="001E6327"/>
    <w:rsid w:val="001E6E92"/>
    <w:rsid w:val="001E739A"/>
    <w:rsid w:val="001E77EB"/>
    <w:rsid w:val="001F05D1"/>
    <w:rsid w:val="001F0613"/>
    <w:rsid w:val="001F17FE"/>
    <w:rsid w:val="001F1C8F"/>
    <w:rsid w:val="001F1DA3"/>
    <w:rsid w:val="001F20D6"/>
    <w:rsid w:val="001F2F03"/>
    <w:rsid w:val="001F3E74"/>
    <w:rsid w:val="001F5507"/>
    <w:rsid w:val="001F5B18"/>
    <w:rsid w:val="001F5D2E"/>
    <w:rsid w:val="001F7A70"/>
    <w:rsid w:val="00200936"/>
    <w:rsid w:val="00200BBB"/>
    <w:rsid w:val="00201CFF"/>
    <w:rsid w:val="002023B5"/>
    <w:rsid w:val="002023F4"/>
    <w:rsid w:val="00202853"/>
    <w:rsid w:val="00203604"/>
    <w:rsid w:val="0020375C"/>
    <w:rsid w:val="00204074"/>
    <w:rsid w:val="0020410B"/>
    <w:rsid w:val="0020462A"/>
    <w:rsid w:val="00204775"/>
    <w:rsid w:val="0020496B"/>
    <w:rsid w:val="00205507"/>
    <w:rsid w:val="0020637C"/>
    <w:rsid w:val="002073FC"/>
    <w:rsid w:val="002076DC"/>
    <w:rsid w:val="00207757"/>
    <w:rsid w:val="0020782C"/>
    <w:rsid w:val="00207BCA"/>
    <w:rsid w:val="00210E48"/>
    <w:rsid w:val="00211B7C"/>
    <w:rsid w:val="002135AB"/>
    <w:rsid w:val="0021382E"/>
    <w:rsid w:val="002141D3"/>
    <w:rsid w:val="0021427D"/>
    <w:rsid w:val="002158E0"/>
    <w:rsid w:val="00216191"/>
    <w:rsid w:val="002176B6"/>
    <w:rsid w:val="00217D8D"/>
    <w:rsid w:val="0022041B"/>
    <w:rsid w:val="002209EF"/>
    <w:rsid w:val="00221D7F"/>
    <w:rsid w:val="00222433"/>
    <w:rsid w:val="00223201"/>
    <w:rsid w:val="00223F14"/>
    <w:rsid w:val="002242ED"/>
    <w:rsid w:val="00224780"/>
    <w:rsid w:val="00225512"/>
    <w:rsid w:val="0022760B"/>
    <w:rsid w:val="00227931"/>
    <w:rsid w:val="00227D1C"/>
    <w:rsid w:val="00227E40"/>
    <w:rsid w:val="002308B0"/>
    <w:rsid w:val="00231471"/>
    <w:rsid w:val="00231FC1"/>
    <w:rsid w:val="002325B0"/>
    <w:rsid w:val="002326BF"/>
    <w:rsid w:val="00233B88"/>
    <w:rsid w:val="00234C7F"/>
    <w:rsid w:val="00235414"/>
    <w:rsid w:val="002361FB"/>
    <w:rsid w:val="00236607"/>
    <w:rsid w:val="0023669B"/>
    <w:rsid w:val="00236EDD"/>
    <w:rsid w:val="0024148C"/>
    <w:rsid w:val="00242C96"/>
    <w:rsid w:val="00243148"/>
    <w:rsid w:val="0024355F"/>
    <w:rsid w:val="0024378B"/>
    <w:rsid w:val="00244233"/>
    <w:rsid w:val="0024438F"/>
    <w:rsid w:val="00246005"/>
    <w:rsid w:val="002471EA"/>
    <w:rsid w:val="0024770B"/>
    <w:rsid w:val="002477E6"/>
    <w:rsid w:val="0024799B"/>
    <w:rsid w:val="00247D92"/>
    <w:rsid w:val="002501D0"/>
    <w:rsid w:val="002501F2"/>
    <w:rsid w:val="00250939"/>
    <w:rsid w:val="0025142C"/>
    <w:rsid w:val="00251857"/>
    <w:rsid w:val="00251DD7"/>
    <w:rsid w:val="0025222E"/>
    <w:rsid w:val="00252282"/>
    <w:rsid w:val="00252477"/>
    <w:rsid w:val="00254802"/>
    <w:rsid w:val="00254869"/>
    <w:rsid w:val="00257280"/>
    <w:rsid w:val="00257C3E"/>
    <w:rsid w:val="00260434"/>
    <w:rsid w:val="00260613"/>
    <w:rsid w:val="00260E13"/>
    <w:rsid w:val="002611D1"/>
    <w:rsid w:val="00263D58"/>
    <w:rsid w:val="002647AB"/>
    <w:rsid w:val="00264A0B"/>
    <w:rsid w:val="002655CA"/>
    <w:rsid w:val="00265B9E"/>
    <w:rsid w:val="00270D42"/>
    <w:rsid w:val="00270EF6"/>
    <w:rsid w:val="0027346F"/>
    <w:rsid w:val="00275A83"/>
    <w:rsid w:val="002769EC"/>
    <w:rsid w:val="002772F4"/>
    <w:rsid w:val="002776B1"/>
    <w:rsid w:val="002778B4"/>
    <w:rsid w:val="0027791C"/>
    <w:rsid w:val="002817FF"/>
    <w:rsid w:val="00281BBE"/>
    <w:rsid w:val="002825EC"/>
    <w:rsid w:val="0028277B"/>
    <w:rsid w:val="00283459"/>
    <w:rsid w:val="00284BFB"/>
    <w:rsid w:val="002858A0"/>
    <w:rsid w:val="002859EC"/>
    <w:rsid w:val="00285B44"/>
    <w:rsid w:val="00287493"/>
    <w:rsid w:val="00287972"/>
    <w:rsid w:val="00290032"/>
    <w:rsid w:val="002904B4"/>
    <w:rsid w:val="002905D9"/>
    <w:rsid w:val="002913D4"/>
    <w:rsid w:val="00292032"/>
    <w:rsid w:val="00292D31"/>
    <w:rsid w:val="00293E9E"/>
    <w:rsid w:val="0029571C"/>
    <w:rsid w:val="0029596D"/>
    <w:rsid w:val="00295B1A"/>
    <w:rsid w:val="00295C04"/>
    <w:rsid w:val="0029762C"/>
    <w:rsid w:val="00297753"/>
    <w:rsid w:val="002A0880"/>
    <w:rsid w:val="002A0D7A"/>
    <w:rsid w:val="002A1222"/>
    <w:rsid w:val="002A163B"/>
    <w:rsid w:val="002A27A1"/>
    <w:rsid w:val="002A2EC6"/>
    <w:rsid w:val="002A31C2"/>
    <w:rsid w:val="002A32A1"/>
    <w:rsid w:val="002A3C97"/>
    <w:rsid w:val="002A4807"/>
    <w:rsid w:val="002A48E5"/>
    <w:rsid w:val="002A5070"/>
    <w:rsid w:val="002A5AF8"/>
    <w:rsid w:val="002A64BA"/>
    <w:rsid w:val="002A690E"/>
    <w:rsid w:val="002B027C"/>
    <w:rsid w:val="002B0429"/>
    <w:rsid w:val="002B06EF"/>
    <w:rsid w:val="002B0936"/>
    <w:rsid w:val="002B1A13"/>
    <w:rsid w:val="002B1C01"/>
    <w:rsid w:val="002B2053"/>
    <w:rsid w:val="002B22A3"/>
    <w:rsid w:val="002B4B31"/>
    <w:rsid w:val="002B6B87"/>
    <w:rsid w:val="002C0D53"/>
    <w:rsid w:val="002C115E"/>
    <w:rsid w:val="002C1A15"/>
    <w:rsid w:val="002C378C"/>
    <w:rsid w:val="002C430F"/>
    <w:rsid w:val="002C465C"/>
    <w:rsid w:val="002C63B3"/>
    <w:rsid w:val="002C6901"/>
    <w:rsid w:val="002C73EF"/>
    <w:rsid w:val="002C782F"/>
    <w:rsid w:val="002D055C"/>
    <w:rsid w:val="002D09A5"/>
    <w:rsid w:val="002D16FF"/>
    <w:rsid w:val="002D22AC"/>
    <w:rsid w:val="002D2D28"/>
    <w:rsid w:val="002D3050"/>
    <w:rsid w:val="002D388A"/>
    <w:rsid w:val="002D4BD0"/>
    <w:rsid w:val="002D51D1"/>
    <w:rsid w:val="002D5DE8"/>
    <w:rsid w:val="002D6E17"/>
    <w:rsid w:val="002D7F7A"/>
    <w:rsid w:val="002E19FF"/>
    <w:rsid w:val="002E1BDA"/>
    <w:rsid w:val="002E2364"/>
    <w:rsid w:val="002E3C9C"/>
    <w:rsid w:val="002E5EF2"/>
    <w:rsid w:val="002E6809"/>
    <w:rsid w:val="002E6DE9"/>
    <w:rsid w:val="002E7174"/>
    <w:rsid w:val="002E72F7"/>
    <w:rsid w:val="002E7733"/>
    <w:rsid w:val="002F04EA"/>
    <w:rsid w:val="002F25A5"/>
    <w:rsid w:val="002F29D1"/>
    <w:rsid w:val="002F2D8B"/>
    <w:rsid w:val="002F2E53"/>
    <w:rsid w:val="002F3350"/>
    <w:rsid w:val="002F4C92"/>
    <w:rsid w:val="002F4FC6"/>
    <w:rsid w:val="002F63BD"/>
    <w:rsid w:val="002F6C75"/>
    <w:rsid w:val="002F74A0"/>
    <w:rsid w:val="002F750A"/>
    <w:rsid w:val="00300224"/>
    <w:rsid w:val="00300276"/>
    <w:rsid w:val="0030036E"/>
    <w:rsid w:val="0030048B"/>
    <w:rsid w:val="00301319"/>
    <w:rsid w:val="0030160C"/>
    <w:rsid w:val="00302E8A"/>
    <w:rsid w:val="003031AB"/>
    <w:rsid w:val="00304DBE"/>
    <w:rsid w:val="00305B5A"/>
    <w:rsid w:val="00306889"/>
    <w:rsid w:val="00306D83"/>
    <w:rsid w:val="00307F9D"/>
    <w:rsid w:val="00310185"/>
    <w:rsid w:val="003101DC"/>
    <w:rsid w:val="00310692"/>
    <w:rsid w:val="003109E8"/>
    <w:rsid w:val="00310C96"/>
    <w:rsid w:val="003117A8"/>
    <w:rsid w:val="00311A7D"/>
    <w:rsid w:val="003121DD"/>
    <w:rsid w:val="00314794"/>
    <w:rsid w:val="0031515E"/>
    <w:rsid w:val="003153A9"/>
    <w:rsid w:val="00315D41"/>
    <w:rsid w:val="00315E39"/>
    <w:rsid w:val="00316981"/>
    <w:rsid w:val="003203B8"/>
    <w:rsid w:val="00320534"/>
    <w:rsid w:val="00321475"/>
    <w:rsid w:val="00321D6D"/>
    <w:rsid w:val="00322B15"/>
    <w:rsid w:val="003235E0"/>
    <w:rsid w:val="00324F0A"/>
    <w:rsid w:val="0032541B"/>
    <w:rsid w:val="00330DB2"/>
    <w:rsid w:val="00331C2D"/>
    <w:rsid w:val="00332ABB"/>
    <w:rsid w:val="00332BFE"/>
    <w:rsid w:val="00333B22"/>
    <w:rsid w:val="003340FA"/>
    <w:rsid w:val="00334C09"/>
    <w:rsid w:val="003363E5"/>
    <w:rsid w:val="00336DB6"/>
    <w:rsid w:val="0033733A"/>
    <w:rsid w:val="003402F3"/>
    <w:rsid w:val="00342552"/>
    <w:rsid w:val="00342ACB"/>
    <w:rsid w:val="00343460"/>
    <w:rsid w:val="0034523F"/>
    <w:rsid w:val="003452A6"/>
    <w:rsid w:val="00345FD0"/>
    <w:rsid w:val="00347C1F"/>
    <w:rsid w:val="00350137"/>
    <w:rsid w:val="00351769"/>
    <w:rsid w:val="0035190B"/>
    <w:rsid w:val="00352330"/>
    <w:rsid w:val="00352CE2"/>
    <w:rsid w:val="003532A1"/>
    <w:rsid w:val="00353762"/>
    <w:rsid w:val="0035404C"/>
    <w:rsid w:val="0035428A"/>
    <w:rsid w:val="003545E3"/>
    <w:rsid w:val="00355A23"/>
    <w:rsid w:val="00356414"/>
    <w:rsid w:val="00356D0E"/>
    <w:rsid w:val="00356F43"/>
    <w:rsid w:val="00357890"/>
    <w:rsid w:val="00360872"/>
    <w:rsid w:val="0036090C"/>
    <w:rsid w:val="00361C4F"/>
    <w:rsid w:val="00362F1A"/>
    <w:rsid w:val="00363205"/>
    <w:rsid w:val="00363DE1"/>
    <w:rsid w:val="00364673"/>
    <w:rsid w:val="00364984"/>
    <w:rsid w:val="00364DE3"/>
    <w:rsid w:val="003676D6"/>
    <w:rsid w:val="00367CB9"/>
    <w:rsid w:val="00367F1F"/>
    <w:rsid w:val="00370486"/>
    <w:rsid w:val="00370B7F"/>
    <w:rsid w:val="003712A0"/>
    <w:rsid w:val="00372144"/>
    <w:rsid w:val="00372ADB"/>
    <w:rsid w:val="00372CCF"/>
    <w:rsid w:val="00374CB4"/>
    <w:rsid w:val="00374D12"/>
    <w:rsid w:val="00374E8C"/>
    <w:rsid w:val="00375294"/>
    <w:rsid w:val="003753C1"/>
    <w:rsid w:val="003755B6"/>
    <w:rsid w:val="0037701C"/>
    <w:rsid w:val="00377349"/>
    <w:rsid w:val="00377E06"/>
    <w:rsid w:val="003801B8"/>
    <w:rsid w:val="00380773"/>
    <w:rsid w:val="003807DD"/>
    <w:rsid w:val="00380FC3"/>
    <w:rsid w:val="003817F8"/>
    <w:rsid w:val="00382502"/>
    <w:rsid w:val="00382E05"/>
    <w:rsid w:val="003832C8"/>
    <w:rsid w:val="00383754"/>
    <w:rsid w:val="00383B66"/>
    <w:rsid w:val="00383BD9"/>
    <w:rsid w:val="00384945"/>
    <w:rsid w:val="00385185"/>
    <w:rsid w:val="00385330"/>
    <w:rsid w:val="00385750"/>
    <w:rsid w:val="00385A3D"/>
    <w:rsid w:val="00386A0C"/>
    <w:rsid w:val="00386D8D"/>
    <w:rsid w:val="00387048"/>
    <w:rsid w:val="00387677"/>
    <w:rsid w:val="003876A1"/>
    <w:rsid w:val="00391EC6"/>
    <w:rsid w:val="00392432"/>
    <w:rsid w:val="003928C5"/>
    <w:rsid w:val="00393094"/>
    <w:rsid w:val="00393874"/>
    <w:rsid w:val="00393C0C"/>
    <w:rsid w:val="003940EC"/>
    <w:rsid w:val="003947D1"/>
    <w:rsid w:val="00395158"/>
    <w:rsid w:val="00395B2E"/>
    <w:rsid w:val="003974F3"/>
    <w:rsid w:val="00397D9B"/>
    <w:rsid w:val="00397D9C"/>
    <w:rsid w:val="003A039D"/>
    <w:rsid w:val="003A2D5F"/>
    <w:rsid w:val="003A385A"/>
    <w:rsid w:val="003A415D"/>
    <w:rsid w:val="003A4732"/>
    <w:rsid w:val="003A5312"/>
    <w:rsid w:val="003A531C"/>
    <w:rsid w:val="003A5DD5"/>
    <w:rsid w:val="003A66E3"/>
    <w:rsid w:val="003A6A23"/>
    <w:rsid w:val="003A71BD"/>
    <w:rsid w:val="003B0ACC"/>
    <w:rsid w:val="003B11E1"/>
    <w:rsid w:val="003B12D5"/>
    <w:rsid w:val="003B168A"/>
    <w:rsid w:val="003B1C2B"/>
    <w:rsid w:val="003B471B"/>
    <w:rsid w:val="003B4B56"/>
    <w:rsid w:val="003B4C2B"/>
    <w:rsid w:val="003B6CC3"/>
    <w:rsid w:val="003C1237"/>
    <w:rsid w:val="003C142F"/>
    <w:rsid w:val="003C1DC5"/>
    <w:rsid w:val="003C20F6"/>
    <w:rsid w:val="003C2476"/>
    <w:rsid w:val="003C2746"/>
    <w:rsid w:val="003C3BB1"/>
    <w:rsid w:val="003C3CCD"/>
    <w:rsid w:val="003C4098"/>
    <w:rsid w:val="003C5097"/>
    <w:rsid w:val="003C5752"/>
    <w:rsid w:val="003C57AB"/>
    <w:rsid w:val="003C70A6"/>
    <w:rsid w:val="003C7CA0"/>
    <w:rsid w:val="003C7D61"/>
    <w:rsid w:val="003D09C7"/>
    <w:rsid w:val="003D16E1"/>
    <w:rsid w:val="003D1826"/>
    <w:rsid w:val="003D20D5"/>
    <w:rsid w:val="003D2E06"/>
    <w:rsid w:val="003D3E1E"/>
    <w:rsid w:val="003D4317"/>
    <w:rsid w:val="003D457B"/>
    <w:rsid w:val="003D45C0"/>
    <w:rsid w:val="003D53BB"/>
    <w:rsid w:val="003D6017"/>
    <w:rsid w:val="003D66A2"/>
    <w:rsid w:val="003E306C"/>
    <w:rsid w:val="003E3146"/>
    <w:rsid w:val="003E3A56"/>
    <w:rsid w:val="003E415B"/>
    <w:rsid w:val="003E4B58"/>
    <w:rsid w:val="003E50B1"/>
    <w:rsid w:val="003E572D"/>
    <w:rsid w:val="003E58CF"/>
    <w:rsid w:val="003E6503"/>
    <w:rsid w:val="003E6F4D"/>
    <w:rsid w:val="003E775C"/>
    <w:rsid w:val="003F1CA5"/>
    <w:rsid w:val="003F38AB"/>
    <w:rsid w:val="003F5813"/>
    <w:rsid w:val="003F5A0F"/>
    <w:rsid w:val="003F5E61"/>
    <w:rsid w:val="003F5F58"/>
    <w:rsid w:val="003F646F"/>
    <w:rsid w:val="003F6499"/>
    <w:rsid w:val="003F7DB1"/>
    <w:rsid w:val="003F7FC8"/>
    <w:rsid w:val="00401320"/>
    <w:rsid w:val="00401625"/>
    <w:rsid w:val="00401759"/>
    <w:rsid w:val="00402D51"/>
    <w:rsid w:val="0040337F"/>
    <w:rsid w:val="00403725"/>
    <w:rsid w:val="00403CAB"/>
    <w:rsid w:val="0040405E"/>
    <w:rsid w:val="00404595"/>
    <w:rsid w:val="00404D90"/>
    <w:rsid w:val="00404F63"/>
    <w:rsid w:val="004052F8"/>
    <w:rsid w:val="00405561"/>
    <w:rsid w:val="004071F5"/>
    <w:rsid w:val="00407327"/>
    <w:rsid w:val="0040761D"/>
    <w:rsid w:val="00410A60"/>
    <w:rsid w:val="004116A9"/>
    <w:rsid w:val="00412302"/>
    <w:rsid w:val="004123D3"/>
    <w:rsid w:val="0041274D"/>
    <w:rsid w:val="00412A27"/>
    <w:rsid w:val="0041338D"/>
    <w:rsid w:val="00413394"/>
    <w:rsid w:val="00413BC3"/>
    <w:rsid w:val="0041502D"/>
    <w:rsid w:val="00417971"/>
    <w:rsid w:val="00417CB9"/>
    <w:rsid w:val="00421006"/>
    <w:rsid w:val="00421B27"/>
    <w:rsid w:val="00421D6D"/>
    <w:rsid w:val="00422538"/>
    <w:rsid w:val="00422596"/>
    <w:rsid w:val="004227E4"/>
    <w:rsid w:val="004239FD"/>
    <w:rsid w:val="00424FFC"/>
    <w:rsid w:val="00425358"/>
    <w:rsid w:val="00425B70"/>
    <w:rsid w:val="00425DA9"/>
    <w:rsid w:val="00427343"/>
    <w:rsid w:val="0042745F"/>
    <w:rsid w:val="00427C45"/>
    <w:rsid w:val="00427EB4"/>
    <w:rsid w:val="00427EC0"/>
    <w:rsid w:val="00430572"/>
    <w:rsid w:val="00431912"/>
    <w:rsid w:val="00431F22"/>
    <w:rsid w:val="00432905"/>
    <w:rsid w:val="00435F17"/>
    <w:rsid w:val="00436D03"/>
    <w:rsid w:val="00437604"/>
    <w:rsid w:val="00437E1C"/>
    <w:rsid w:val="004417A2"/>
    <w:rsid w:val="00441874"/>
    <w:rsid w:val="00442AC3"/>
    <w:rsid w:val="00442D70"/>
    <w:rsid w:val="00443371"/>
    <w:rsid w:val="004445A1"/>
    <w:rsid w:val="004448EC"/>
    <w:rsid w:val="00444B72"/>
    <w:rsid w:val="00445633"/>
    <w:rsid w:val="00445C2E"/>
    <w:rsid w:val="0044607C"/>
    <w:rsid w:val="004462AE"/>
    <w:rsid w:val="00446667"/>
    <w:rsid w:val="00447621"/>
    <w:rsid w:val="0044797D"/>
    <w:rsid w:val="00447CB3"/>
    <w:rsid w:val="00447F43"/>
    <w:rsid w:val="0045003E"/>
    <w:rsid w:val="0045253A"/>
    <w:rsid w:val="0045298E"/>
    <w:rsid w:val="00452FDC"/>
    <w:rsid w:val="00453583"/>
    <w:rsid w:val="00454626"/>
    <w:rsid w:val="00454861"/>
    <w:rsid w:val="00454CE4"/>
    <w:rsid w:val="00454DA0"/>
    <w:rsid w:val="004551C3"/>
    <w:rsid w:val="00455687"/>
    <w:rsid w:val="004557FF"/>
    <w:rsid w:val="00455835"/>
    <w:rsid w:val="00456406"/>
    <w:rsid w:val="00457AF7"/>
    <w:rsid w:val="00461596"/>
    <w:rsid w:val="00462281"/>
    <w:rsid w:val="004622A0"/>
    <w:rsid w:val="004649A1"/>
    <w:rsid w:val="00464B60"/>
    <w:rsid w:val="00464D49"/>
    <w:rsid w:val="004659B7"/>
    <w:rsid w:val="00466287"/>
    <w:rsid w:val="00466B3B"/>
    <w:rsid w:val="00467B7E"/>
    <w:rsid w:val="00467D87"/>
    <w:rsid w:val="00467F1B"/>
    <w:rsid w:val="004713E9"/>
    <w:rsid w:val="00471F38"/>
    <w:rsid w:val="004724BC"/>
    <w:rsid w:val="0047254B"/>
    <w:rsid w:val="00473593"/>
    <w:rsid w:val="004735F4"/>
    <w:rsid w:val="00473A58"/>
    <w:rsid w:val="00474172"/>
    <w:rsid w:val="00475305"/>
    <w:rsid w:val="004771B9"/>
    <w:rsid w:val="00477E2F"/>
    <w:rsid w:val="004805CB"/>
    <w:rsid w:val="004809FB"/>
    <w:rsid w:val="00480AB3"/>
    <w:rsid w:val="00480FE4"/>
    <w:rsid w:val="00481429"/>
    <w:rsid w:val="00481EC0"/>
    <w:rsid w:val="00482392"/>
    <w:rsid w:val="004824E4"/>
    <w:rsid w:val="004827C0"/>
    <w:rsid w:val="00483310"/>
    <w:rsid w:val="00483516"/>
    <w:rsid w:val="00483BDE"/>
    <w:rsid w:val="00483ED7"/>
    <w:rsid w:val="00483F51"/>
    <w:rsid w:val="00484535"/>
    <w:rsid w:val="00485B05"/>
    <w:rsid w:val="004864E5"/>
    <w:rsid w:val="00486B92"/>
    <w:rsid w:val="004878E6"/>
    <w:rsid w:val="00487EC1"/>
    <w:rsid w:val="0049054C"/>
    <w:rsid w:val="00492827"/>
    <w:rsid w:val="00493561"/>
    <w:rsid w:val="00494287"/>
    <w:rsid w:val="004951D0"/>
    <w:rsid w:val="0049596E"/>
    <w:rsid w:val="00495A06"/>
    <w:rsid w:val="00495F7C"/>
    <w:rsid w:val="00496D10"/>
    <w:rsid w:val="00497117"/>
    <w:rsid w:val="004975FD"/>
    <w:rsid w:val="00497616"/>
    <w:rsid w:val="004978DD"/>
    <w:rsid w:val="004A1791"/>
    <w:rsid w:val="004A2327"/>
    <w:rsid w:val="004A35C5"/>
    <w:rsid w:val="004A4099"/>
    <w:rsid w:val="004A4179"/>
    <w:rsid w:val="004A782E"/>
    <w:rsid w:val="004B1D03"/>
    <w:rsid w:val="004B1FAF"/>
    <w:rsid w:val="004B2672"/>
    <w:rsid w:val="004B3072"/>
    <w:rsid w:val="004B31D6"/>
    <w:rsid w:val="004B3F60"/>
    <w:rsid w:val="004B5E4E"/>
    <w:rsid w:val="004B7B90"/>
    <w:rsid w:val="004C06F6"/>
    <w:rsid w:val="004C0B5A"/>
    <w:rsid w:val="004C15EE"/>
    <w:rsid w:val="004C1ABD"/>
    <w:rsid w:val="004C2A1E"/>
    <w:rsid w:val="004C45A8"/>
    <w:rsid w:val="004C4AE3"/>
    <w:rsid w:val="004C4D9B"/>
    <w:rsid w:val="004C4EBE"/>
    <w:rsid w:val="004C54C6"/>
    <w:rsid w:val="004C60D4"/>
    <w:rsid w:val="004C6306"/>
    <w:rsid w:val="004C66BD"/>
    <w:rsid w:val="004C6EB6"/>
    <w:rsid w:val="004D112F"/>
    <w:rsid w:val="004D25F9"/>
    <w:rsid w:val="004D29B3"/>
    <w:rsid w:val="004D34F6"/>
    <w:rsid w:val="004D36E9"/>
    <w:rsid w:val="004D38D3"/>
    <w:rsid w:val="004D4DAD"/>
    <w:rsid w:val="004D6A0E"/>
    <w:rsid w:val="004D7290"/>
    <w:rsid w:val="004D79CF"/>
    <w:rsid w:val="004E02AA"/>
    <w:rsid w:val="004E03D9"/>
    <w:rsid w:val="004E0A07"/>
    <w:rsid w:val="004E0C9B"/>
    <w:rsid w:val="004E1CB9"/>
    <w:rsid w:val="004E3D2E"/>
    <w:rsid w:val="004E3EE9"/>
    <w:rsid w:val="004E45F4"/>
    <w:rsid w:val="004E517C"/>
    <w:rsid w:val="004E5B32"/>
    <w:rsid w:val="004E5B3B"/>
    <w:rsid w:val="004E5B97"/>
    <w:rsid w:val="004E5CED"/>
    <w:rsid w:val="004E616F"/>
    <w:rsid w:val="004E6D5E"/>
    <w:rsid w:val="004F137D"/>
    <w:rsid w:val="004F16D0"/>
    <w:rsid w:val="004F2121"/>
    <w:rsid w:val="004F2996"/>
    <w:rsid w:val="004F34A7"/>
    <w:rsid w:val="004F38DC"/>
    <w:rsid w:val="004F4166"/>
    <w:rsid w:val="004F51CE"/>
    <w:rsid w:val="004F62DE"/>
    <w:rsid w:val="004F6427"/>
    <w:rsid w:val="004F6ADE"/>
    <w:rsid w:val="004F77A2"/>
    <w:rsid w:val="00500A31"/>
    <w:rsid w:val="00501436"/>
    <w:rsid w:val="00501BC1"/>
    <w:rsid w:val="005030E1"/>
    <w:rsid w:val="005048ED"/>
    <w:rsid w:val="00504B78"/>
    <w:rsid w:val="00504C28"/>
    <w:rsid w:val="00506570"/>
    <w:rsid w:val="005065DC"/>
    <w:rsid w:val="0050790F"/>
    <w:rsid w:val="0051156F"/>
    <w:rsid w:val="005119F0"/>
    <w:rsid w:val="00512CB3"/>
    <w:rsid w:val="00513293"/>
    <w:rsid w:val="005134C5"/>
    <w:rsid w:val="0051389C"/>
    <w:rsid w:val="00513B94"/>
    <w:rsid w:val="00513EA4"/>
    <w:rsid w:val="00514A67"/>
    <w:rsid w:val="00514FA2"/>
    <w:rsid w:val="005177EA"/>
    <w:rsid w:val="00520060"/>
    <w:rsid w:val="00521A4C"/>
    <w:rsid w:val="005225FE"/>
    <w:rsid w:val="00523B84"/>
    <w:rsid w:val="00524027"/>
    <w:rsid w:val="005248BE"/>
    <w:rsid w:val="00524A6B"/>
    <w:rsid w:val="00526E33"/>
    <w:rsid w:val="00527198"/>
    <w:rsid w:val="00527FA7"/>
    <w:rsid w:val="005307A0"/>
    <w:rsid w:val="005308BB"/>
    <w:rsid w:val="00530B7D"/>
    <w:rsid w:val="00531AD1"/>
    <w:rsid w:val="00531E52"/>
    <w:rsid w:val="0053283C"/>
    <w:rsid w:val="00532ED6"/>
    <w:rsid w:val="00533693"/>
    <w:rsid w:val="00533986"/>
    <w:rsid w:val="00533ED6"/>
    <w:rsid w:val="005341D8"/>
    <w:rsid w:val="0053592E"/>
    <w:rsid w:val="00535E5A"/>
    <w:rsid w:val="005363F7"/>
    <w:rsid w:val="0053686E"/>
    <w:rsid w:val="00536A2B"/>
    <w:rsid w:val="005373A0"/>
    <w:rsid w:val="00537B7E"/>
    <w:rsid w:val="00540388"/>
    <w:rsid w:val="00540641"/>
    <w:rsid w:val="00540856"/>
    <w:rsid w:val="00541341"/>
    <w:rsid w:val="0054136F"/>
    <w:rsid w:val="0054364C"/>
    <w:rsid w:val="005441F2"/>
    <w:rsid w:val="00544C70"/>
    <w:rsid w:val="005451E4"/>
    <w:rsid w:val="00545382"/>
    <w:rsid w:val="005466A3"/>
    <w:rsid w:val="005468E2"/>
    <w:rsid w:val="005472AA"/>
    <w:rsid w:val="0055028C"/>
    <w:rsid w:val="005527F8"/>
    <w:rsid w:val="00554214"/>
    <w:rsid w:val="005554BA"/>
    <w:rsid w:val="005557F2"/>
    <w:rsid w:val="005559B3"/>
    <w:rsid w:val="00555CD6"/>
    <w:rsid w:val="00557611"/>
    <w:rsid w:val="00560ECF"/>
    <w:rsid w:val="00562D0F"/>
    <w:rsid w:val="0056346B"/>
    <w:rsid w:val="005638A0"/>
    <w:rsid w:val="00564870"/>
    <w:rsid w:val="00564ACA"/>
    <w:rsid w:val="005655A8"/>
    <w:rsid w:val="005655DA"/>
    <w:rsid w:val="00565A35"/>
    <w:rsid w:val="00565E8A"/>
    <w:rsid w:val="00566646"/>
    <w:rsid w:val="00566930"/>
    <w:rsid w:val="00566A78"/>
    <w:rsid w:val="00567D8C"/>
    <w:rsid w:val="00570673"/>
    <w:rsid w:val="005712AB"/>
    <w:rsid w:val="005720D8"/>
    <w:rsid w:val="00574005"/>
    <w:rsid w:val="00574874"/>
    <w:rsid w:val="00574C66"/>
    <w:rsid w:val="00575D65"/>
    <w:rsid w:val="00575D97"/>
    <w:rsid w:val="00575E5B"/>
    <w:rsid w:val="005802CB"/>
    <w:rsid w:val="00580933"/>
    <w:rsid w:val="00580984"/>
    <w:rsid w:val="00580A5C"/>
    <w:rsid w:val="005810D9"/>
    <w:rsid w:val="0058190D"/>
    <w:rsid w:val="00581B4B"/>
    <w:rsid w:val="0058286F"/>
    <w:rsid w:val="00582AA2"/>
    <w:rsid w:val="005837E8"/>
    <w:rsid w:val="00583B7E"/>
    <w:rsid w:val="00583C95"/>
    <w:rsid w:val="00584A41"/>
    <w:rsid w:val="0058590D"/>
    <w:rsid w:val="00585AAC"/>
    <w:rsid w:val="00585E60"/>
    <w:rsid w:val="0058708F"/>
    <w:rsid w:val="00587659"/>
    <w:rsid w:val="005879E1"/>
    <w:rsid w:val="005908F4"/>
    <w:rsid w:val="00591340"/>
    <w:rsid w:val="00592283"/>
    <w:rsid w:val="00592472"/>
    <w:rsid w:val="00592A48"/>
    <w:rsid w:val="00592D4E"/>
    <w:rsid w:val="00593873"/>
    <w:rsid w:val="00594E4C"/>
    <w:rsid w:val="0059505D"/>
    <w:rsid w:val="00595784"/>
    <w:rsid w:val="00596B81"/>
    <w:rsid w:val="00596C50"/>
    <w:rsid w:val="00597DB1"/>
    <w:rsid w:val="005A0691"/>
    <w:rsid w:val="005A0C6C"/>
    <w:rsid w:val="005A13E8"/>
    <w:rsid w:val="005A18C5"/>
    <w:rsid w:val="005A25D2"/>
    <w:rsid w:val="005A261D"/>
    <w:rsid w:val="005A30BE"/>
    <w:rsid w:val="005A378A"/>
    <w:rsid w:val="005A38F0"/>
    <w:rsid w:val="005A47C0"/>
    <w:rsid w:val="005A4E4F"/>
    <w:rsid w:val="005A5396"/>
    <w:rsid w:val="005A551F"/>
    <w:rsid w:val="005A5A91"/>
    <w:rsid w:val="005A6E04"/>
    <w:rsid w:val="005A79E2"/>
    <w:rsid w:val="005B005C"/>
    <w:rsid w:val="005B287A"/>
    <w:rsid w:val="005B2961"/>
    <w:rsid w:val="005B2D57"/>
    <w:rsid w:val="005B402F"/>
    <w:rsid w:val="005B4848"/>
    <w:rsid w:val="005B4F28"/>
    <w:rsid w:val="005B50C9"/>
    <w:rsid w:val="005B593B"/>
    <w:rsid w:val="005B5A54"/>
    <w:rsid w:val="005B6421"/>
    <w:rsid w:val="005B7102"/>
    <w:rsid w:val="005B7282"/>
    <w:rsid w:val="005B78DF"/>
    <w:rsid w:val="005B7F1E"/>
    <w:rsid w:val="005C18ED"/>
    <w:rsid w:val="005C1958"/>
    <w:rsid w:val="005C2563"/>
    <w:rsid w:val="005C2E30"/>
    <w:rsid w:val="005C5BBE"/>
    <w:rsid w:val="005C64BA"/>
    <w:rsid w:val="005D1640"/>
    <w:rsid w:val="005D179F"/>
    <w:rsid w:val="005D1D02"/>
    <w:rsid w:val="005D2B79"/>
    <w:rsid w:val="005D3D83"/>
    <w:rsid w:val="005D4C74"/>
    <w:rsid w:val="005D5CC6"/>
    <w:rsid w:val="005D7B20"/>
    <w:rsid w:val="005D7BC9"/>
    <w:rsid w:val="005E0C9E"/>
    <w:rsid w:val="005E18C4"/>
    <w:rsid w:val="005E1BE7"/>
    <w:rsid w:val="005E318D"/>
    <w:rsid w:val="005E3F60"/>
    <w:rsid w:val="005E4315"/>
    <w:rsid w:val="005E4D0A"/>
    <w:rsid w:val="005E4E40"/>
    <w:rsid w:val="005E5542"/>
    <w:rsid w:val="005E5DBE"/>
    <w:rsid w:val="005E6625"/>
    <w:rsid w:val="005E6686"/>
    <w:rsid w:val="005E73F4"/>
    <w:rsid w:val="005E7DE4"/>
    <w:rsid w:val="005F0851"/>
    <w:rsid w:val="005F0BC7"/>
    <w:rsid w:val="005F0C3D"/>
    <w:rsid w:val="005F18F7"/>
    <w:rsid w:val="005F3369"/>
    <w:rsid w:val="005F3917"/>
    <w:rsid w:val="005F44CB"/>
    <w:rsid w:val="005F537C"/>
    <w:rsid w:val="005F55C0"/>
    <w:rsid w:val="005F77FB"/>
    <w:rsid w:val="005F7F35"/>
    <w:rsid w:val="00600A05"/>
    <w:rsid w:val="006020CA"/>
    <w:rsid w:val="006022EE"/>
    <w:rsid w:val="006028C0"/>
    <w:rsid w:val="00603043"/>
    <w:rsid w:val="00603AC7"/>
    <w:rsid w:val="0060411F"/>
    <w:rsid w:val="0060460D"/>
    <w:rsid w:val="006048B0"/>
    <w:rsid w:val="00604EFC"/>
    <w:rsid w:val="00605BF4"/>
    <w:rsid w:val="00606064"/>
    <w:rsid w:val="006060FC"/>
    <w:rsid w:val="006063E5"/>
    <w:rsid w:val="00606BF4"/>
    <w:rsid w:val="0060713B"/>
    <w:rsid w:val="00607397"/>
    <w:rsid w:val="006077E6"/>
    <w:rsid w:val="00607DA5"/>
    <w:rsid w:val="00607F7C"/>
    <w:rsid w:val="00611B8D"/>
    <w:rsid w:val="00611F07"/>
    <w:rsid w:val="00613102"/>
    <w:rsid w:val="00613629"/>
    <w:rsid w:val="00613C84"/>
    <w:rsid w:val="00614324"/>
    <w:rsid w:val="00614625"/>
    <w:rsid w:val="0061468B"/>
    <w:rsid w:val="00614A45"/>
    <w:rsid w:val="00616836"/>
    <w:rsid w:val="0061712A"/>
    <w:rsid w:val="0061719B"/>
    <w:rsid w:val="00621C50"/>
    <w:rsid w:val="00622556"/>
    <w:rsid w:val="0062271A"/>
    <w:rsid w:val="006240A8"/>
    <w:rsid w:val="00624AD0"/>
    <w:rsid w:val="00626409"/>
    <w:rsid w:val="00626A24"/>
    <w:rsid w:val="00626E62"/>
    <w:rsid w:val="00627217"/>
    <w:rsid w:val="00627870"/>
    <w:rsid w:val="00630675"/>
    <w:rsid w:val="006307B5"/>
    <w:rsid w:val="0063159E"/>
    <w:rsid w:val="00631FE4"/>
    <w:rsid w:val="0063329F"/>
    <w:rsid w:val="0063339F"/>
    <w:rsid w:val="00633CC5"/>
    <w:rsid w:val="00633EE4"/>
    <w:rsid w:val="00634771"/>
    <w:rsid w:val="0063477F"/>
    <w:rsid w:val="006350A2"/>
    <w:rsid w:val="00635C83"/>
    <w:rsid w:val="00636360"/>
    <w:rsid w:val="0063646B"/>
    <w:rsid w:val="00636964"/>
    <w:rsid w:val="00637664"/>
    <w:rsid w:val="006401B4"/>
    <w:rsid w:val="00640788"/>
    <w:rsid w:val="0064420D"/>
    <w:rsid w:val="00644ABD"/>
    <w:rsid w:val="0064599D"/>
    <w:rsid w:val="00645E29"/>
    <w:rsid w:val="006462DA"/>
    <w:rsid w:val="006464EE"/>
    <w:rsid w:val="00651739"/>
    <w:rsid w:val="006522B7"/>
    <w:rsid w:val="00653E79"/>
    <w:rsid w:val="00654012"/>
    <w:rsid w:val="00654371"/>
    <w:rsid w:val="00655348"/>
    <w:rsid w:val="006554F8"/>
    <w:rsid w:val="00655F46"/>
    <w:rsid w:val="0065617D"/>
    <w:rsid w:val="00656F80"/>
    <w:rsid w:val="00657A55"/>
    <w:rsid w:val="00657C9B"/>
    <w:rsid w:val="00660449"/>
    <w:rsid w:val="00660AB1"/>
    <w:rsid w:val="00660FB6"/>
    <w:rsid w:val="00661C68"/>
    <w:rsid w:val="00661C7F"/>
    <w:rsid w:val="00661EA4"/>
    <w:rsid w:val="00663AE4"/>
    <w:rsid w:val="00664E5A"/>
    <w:rsid w:val="006660A6"/>
    <w:rsid w:val="00666180"/>
    <w:rsid w:val="0066730D"/>
    <w:rsid w:val="00667BD5"/>
    <w:rsid w:val="00667C9A"/>
    <w:rsid w:val="00667D25"/>
    <w:rsid w:val="0067003D"/>
    <w:rsid w:val="00671180"/>
    <w:rsid w:val="0067232E"/>
    <w:rsid w:val="006724CC"/>
    <w:rsid w:val="00673474"/>
    <w:rsid w:val="0067357A"/>
    <w:rsid w:val="00673BD1"/>
    <w:rsid w:val="006743EB"/>
    <w:rsid w:val="0067582C"/>
    <w:rsid w:val="00675AD5"/>
    <w:rsid w:val="006769A9"/>
    <w:rsid w:val="00676A5B"/>
    <w:rsid w:val="00680AB2"/>
    <w:rsid w:val="00682491"/>
    <w:rsid w:val="006833E4"/>
    <w:rsid w:val="00683714"/>
    <w:rsid w:val="00684054"/>
    <w:rsid w:val="0068438F"/>
    <w:rsid w:val="00685ABF"/>
    <w:rsid w:val="00686744"/>
    <w:rsid w:val="006868F6"/>
    <w:rsid w:val="006869AF"/>
    <w:rsid w:val="00687386"/>
    <w:rsid w:val="00687527"/>
    <w:rsid w:val="00687D26"/>
    <w:rsid w:val="006901F8"/>
    <w:rsid w:val="00691201"/>
    <w:rsid w:val="0069137B"/>
    <w:rsid w:val="00691FF8"/>
    <w:rsid w:val="006928C3"/>
    <w:rsid w:val="00692C92"/>
    <w:rsid w:val="00693278"/>
    <w:rsid w:val="00693905"/>
    <w:rsid w:val="00693F61"/>
    <w:rsid w:val="00694138"/>
    <w:rsid w:val="00694B8E"/>
    <w:rsid w:val="00695F10"/>
    <w:rsid w:val="0069676D"/>
    <w:rsid w:val="00696CD1"/>
    <w:rsid w:val="00696CD5"/>
    <w:rsid w:val="0069728D"/>
    <w:rsid w:val="00697FAB"/>
    <w:rsid w:val="006A0BD7"/>
    <w:rsid w:val="006A150B"/>
    <w:rsid w:val="006A1CCE"/>
    <w:rsid w:val="006A22DB"/>
    <w:rsid w:val="006A389D"/>
    <w:rsid w:val="006A3928"/>
    <w:rsid w:val="006A3B53"/>
    <w:rsid w:val="006A3E8A"/>
    <w:rsid w:val="006A49E0"/>
    <w:rsid w:val="006A4C46"/>
    <w:rsid w:val="006A4C83"/>
    <w:rsid w:val="006A4ED5"/>
    <w:rsid w:val="006A501D"/>
    <w:rsid w:val="006A5101"/>
    <w:rsid w:val="006A6BA5"/>
    <w:rsid w:val="006B0400"/>
    <w:rsid w:val="006B0D86"/>
    <w:rsid w:val="006B1132"/>
    <w:rsid w:val="006B16B3"/>
    <w:rsid w:val="006B199F"/>
    <w:rsid w:val="006B2448"/>
    <w:rsid w:val="006B2789"/>
    <w:rsid w:val="006B3223"/>
    <w:rsid w:val="006B3566"/>
    <w:rsid w:val="006B36C2"/>
    <w:rsid w:val="006B456F"/>
    <w:rsid w:val="006B5001"/>
    <w:rsid w:val="006B5151"/>
    <w:rsid w:val="006B6832"/>
    <w:rsid w:val="006B685D"/>
    <w:rsid w:val="006B6ED4"/>
    <w:rsid w:val="006B73C1"/>
    <w:rsid w:val="006B7AD2"/>
    <w:rsid w:val="006C0AB9"/>
    <w:rsid w:val="006C0FC9"/>
    <w:rsid w:val="006C10A7"/>
    <w:rsid w:val="006C1797"/>
    <w:rsid w:val="006C204F"/>
    <w:rsid w:val="006C2EFB"/>
    <w:rsid w:val="006C40D7"/>
    <w:rsid w:val="006C52A4"/>
    <w:rsid w:val="006C73F1"/>
    <w:rsid w:val="006D0591"/>
    <w:rsid w:val="006D0686"/>
    <w:rsid w:val="006D1ABB"/>
    <w:rsid w:val="006D24B8"/>
    <w:rsid w:val="006D3D37"/>
    <w:rsid w:val="006D46B7"/>
    <w:rsid w:val="006D5F9F"/>
    <w:rsid w:val="006D6519"/>
    <w:rsid w:val="006D6E1A"/>
    <w:rsid w:val="006D76D8"/>
    <w:rsid w:val="006D7A59"/>
    <w:rsid w:val="006E0905"/>
    <w:rsid w:val="006E2511"/>
    <w:rsid w:val="006E28CD"/>
    <w:rsid w:val="006E35BC"/>
    <w:rsid w:val="006E3918"/>
    <w:rsid w:val="006E44D5"/>
    <w:rsid w:val="006E461F"/>
    <w:rsid w:val="006E52E4"/>
    <w:rsid w:val="006E66C9"/>
    <w:rsid w:val="006E77CA"/>
    <w:rsid w:val="006F2B37"/>
    <w:rsid w:val="006F3BC7"/>
    <w:rsid w:val="006F3D32"/>
    <w:rsid w:val="006F42E5"/>
    <w:rsid w:val="006F67F0"/>
    <w:rsid w:val="006F6B23"/>
    <w:rsid w:val="00700AE5"/>
    <w:rsid w:val="0070116C"/>
    <w:rsid w:val="00701F14"/>
    <w:rsid w:val="0070245D"/>
    <w:rsid w:val="00702BE0"/>
    <w:rsid w:val="00703B72"/>
    <w:rsid w:val="00704057"/>
    <w:rsid w:val="00705610"/>
    <w:rsid w:val="0070573F"/>
    <w:rsid w:val="007068E8"/>
    <w:rsid w:val="00706D26"/>
    <w:rsid w:val="007070AA"/>
    <w:rsid w:val="007070C2"/>
    <w:rsid w:val="007070CD"/>
    <w:rsid w:val="00707CA0"/>
    <w:rsid w:val="00707CBF"/>
    <w:rsid w:val="00707CDB"/>
    <w:rsid w:val="00707EC7"/>
    <w:rsid w:val="00710501"/>
    <w:rsid w:val="00710530"/>
    <w:rsid w:val="00713C0F"/>
    <w:rsid w:val="007140A3"/>
    <w:rsid w:val="00714AD2"/>
    <w:rsid w:val="0071723E"/>
    <w:rsid w:val="0071751D"/>
    <w:rsid w:val="00720825"/>
    <w:rsid w:val="00721178"/>
    <w:rsid w:val="007217F8"/>
    <w:rsid w:val="0072181D"/>
    <w:rsid w:val="00721CD3"/>
    <w:rsid w:val="00722525"/>
    <w:rsid w:val="007232C5"/>
    <w:rsid w:val="00724E8B"/>
    <w:rsid w:val="00725031"/>
    <w:rsid w:val="007250B5"/>
    <w:rsid w:val="0072522F"/>
    <w:rsid w:val="00725CEC"/>
    <w:rsid w:val="00726503"/>
    <w:rsid w:val="007273F6"/>
    <w:rsid w:val="00727487"/>
    <w:rsid w:val="00730364"/>
    <w:rsid w:val="007314E4"/>
    <w:rsid w:val="00731A21"/>
    <w:rsid w:val="00731D35"/>
    <w:rsid w:val="007323B6"/>
    <w:rsid w:val="007329F1"/>
    <w:rsid w:val="0073450E"/>
    <w:rsid w:val="007352BC"/>
    <w:rsid w:val="00736861"/>
    <w:rsid w:val="00736C15"/>
    <w:rsid w:val="00736D1B"/>
    <w:rsid w:val="007404CB"/>
    <w:rsid w:val="00740A4D"/>
    <w:rsid w:val="00740CA9"/>
    <w:rsid w:val="00741541"/>
    <w:rsid w:val="00741ABF"/>
    <w:rsid w:val="0074266A"/>
    <w:rsid w:val="0074269C"/>
    <w:rsid w:val="0074287C"/>
    <w:rsid w:val="007429BF"/>
    <w:rsid w:val="007434A7"/>
    <w:rsid w:val="00744136"/>
    <w:rsid w:val="00744B06"/>
    <w:rsid w:val="0074673C"/>
    <w:rsid w:val="00746D00"/>
    <w:rsid w:val="00746EA8"/>
    <w:rsid w:val="00746FF2"/>
    <w:rsid w:val="00747B86"/>
    <w:rsid w:val="007504D4"/>
    <w:rsid w:val="00750CDA"/>
    <w:rsid w:val="0075184D"/>
    <w:rsid w:val="00754585"/>
    <w:rsid w:val="007546B1"/>
    <w:rsid w:val="00754EC4"/>
    <w:rsid w:val="007551B5"/>
    <w:rsid w:val="0075567D"/>
    <w:rsid w:val="00755CD0"/>
    <w:rsid w:val="007563F7"/>
    <w:rsid w:val="00756CB0"/>
    <w:rsid w:val="00760BAD"/>
    <w:rsid w:val="00761B2A"/>
    <w:rsid w:val="0076336D"/>
    <w:rsid w:val="007633DB"/>
    <w:rsid w:val="007642FB"/>
    <w:rsid w:val="0076487E"/>
    <w:rsid w:val="007650BA"/>
    <w:rsid w:val="00765F5F"/>
    <w:rsid w:val="0076791B"/>
    <w:rsid w:val="00767AD0"/>
    <w:rsid w:val="00767F01"/>
    <w:rsid w:val="00767F88"/>
    <w:rsid w:val="00770E92"/>
    <w:rsid w:val="00771426"/>
    <w:rsid w:val="007721D4"/>
    <w:rsid w:val="00773DB5"/>
    <w:rsid w:val="00774906"/>
    <w:rsid w:val="00774A4B"/>
    <w:rsid w:val="00775036"/>
    <w:rsid w:val="007756F7"/>
    <w:rsid w:val="00775CF2"/>
    <w:rsid w:val="00776235"/>
    <w:rsid w:val="00776A95"/>
    <w:rsid w:val="00776C57"/>
    <w:rsid w:val="00777358"/>
    <w:rsid w:val="00777B3A"/>
    <w:rsid w:val="0078165E"/>
    <w:rsid w:val="00781798"/>
    <w:rsid w:val="00781864"/>
    <w:rsid w:val="00781CBB"/>
    <w:rsid w:val="00782355"/>
    <w:rsid w:val="00782F04"/>
    <w:rsid w:val="0078320A"/>
    <w:rsid w:val="00783EF2"/>
    <w:rsid w:val="00784805"/>
    <w:rsid w:val="00784BE5"/>
    <w:rsid w:val="00784C2B"/>
    <w:rsid w:val="00785779"/>
    <w:rsid w:val="007859A1"/>
    <w:rsid w:val="00787201"/>
    <w:rsid w:val="0078730A"/>
    <w:rsid w:val="00790DBF"/>
    <w:rsid w:val="00791AB2"/>
    <w:rsid w:val="00791B8E"/>
    <w:rsid w:val="007923A5"/>
    <w:rsid w:val="00792723"/>
    <w:rsid w:val="00793857"/>
    <w:rsid w:val="007939B0"/>
    <w:rsid w:val="00793C70"/>
    <w:rsid w:val="00794B21"/>
    <w:rsid w:val="00795322"/>
    <w:rsid w:val="00796596"/>
    <w:rsid w:val="00797DBF"/>
    <w:rsid w:val="007A13AC"/>
    <w:rsid w:val="007A241F"/>
    <w:rsid w:val="007A26F2"/>
    <w:rsid w:val="007A2B08"/>
    <w:rsid w:val="007A32DF"/>
    <w:rsid w:val="007A370C"/>
    <w:rsid w:val="007A3B71"/>
    <w:rsid w:val="007A3BE0"/>
    <w:rsid w:val="007A3BF0"/>
    <w:rsid w:val="007A5802"/>
    <w:rsid w:val="007A647A"/>
    <w:rsid w:val="007A7445"/>
    <w:rsid w:val="007A7FED"/>
    <w:rsid w:val="007B027C"/>
    <w:rsid w:val="007B084B"/>
    <w:rsid w:val="007B1294"/>
    <w:rsid w:val="007B224B"/>
    <w:rsid w:val="007B23E6"/>
    <w:rsid w:val="007B2BD1"/>
    <w:rsid w:val="007B305D"/>
    <w:rsid w:val="007B3774"/>
    <w:rsid w:val="007B3D0E"/>
    <w:rsid w:val="007B3E0A"/>
    <w:rsid w:val="007B4504"/>
    <w:rsid w:val="007B451A"/>
    <w:rsid w:val="007B4F24"/>
    <w:rsid w:val="007B6229"/>
    <w:rsid w:val="007B6ED9"/>
    <w:rsid w:val="007B7D5F"/>
    <w:rsid w:val="007C00AF"/>
    <w:rsid w:val="007C14E0"/>
    <w:rsid w:val="007C1C35"/>
    <w:rsid w:val="007C2FA8"/>
    <w:rsid w:val="007C3162"/>
    <w:rsid w:val="007C371F"/>
    <w:rsid w:val="007C449E"/>
    <w:rsid w:val="007C58F4"/>
    <w:rsid w:val="007C61C7"/>
    <w:rsid w:val="007C76DE"/>
    <w:rsid w:val="007C7C75"/>
    <w:rsid w:val="007D0AA8"/>
    <w:rsid w:val="007D0F8C"/>
    <w:rsid w:val="007D216B"/>
    <w:rsid w:val="007D2A31"/>
    <w:rsid w:val="007D3037"/>
    <w:rsid w:val="007D6876"/>
    <w:rsid w:val="007D75DC"/>
    <w:rsid w:val="007D79A0"/>
    <w:rsid w:val="007D7FF9"/>
    <w:rsid w:val="007E0206"/>
    <w:rsid w:val="007E1FA5"/>
    <w:rsid w:val="007E28A9"/>
    <w:rsid w:val="007E3272"/>
    <w:rsid w:val="007E4B73"/>
    <w:rsid w:val="007E5A32"/>
    <w:rsid w:val="007E6242"/>
    <w:rsid w:val="007F0AE8"/>
    <w:rsid w:val="007F115C"/>
    <w:rsid w:val="007F1D6C"/>
    <w:rsid w:val="007F21B2"/>
    <w:rsid w:val="007F2255"/>
    <w:rsid w:val="007F5F0C"/>
    <w:rsid w:val="007F7142"/>
    <w:rsid w:val="007F7345"/>
    <w:rsid w:val="0080057A"/>
    <w:rsid w:val="00801355"/>
    <w:rsid w:val="008023B0"/>
    <w:rsid w:val="00803C91"/>
    <w:rsid w:val="00804A4E"/>
    <w:rsid w:val="00805DE6"/>
    <w:rsid w:val="0080626D"/>
    <w:rsid w:val="008072A0"/>
    <w:rsid w:val="00807855"/>
    <w:rsid w:val="008105BB"/>
    <w:rsid w:val="00810BD6"/>
    <w:rsid w:val="00810EA3"/>
    <w:rsid w:val="00811FE8"/>
    <w:rsid w:val="0081322E"/>
    <w:rsid w:val="008145D1"/>
    <w:rsid w:val="008146E5"/>
    <w:rsid w:val="008162A0"/>
    <w:rsid w:val="00816B48"/>
    <w:rsid w:val="00816DD9"/>
    <w:rsid w:val="00817422"/>
    <w:rsid w:val="00817A2E"/>
    <w:rsid w:val="00817CDC"/>
    <w:rsid w:val="008203F0"/>
    <w:rsid w:val="00823440"/>
    <w:rsid w:val="00823A37"/>
    <w:rsid w:val="008241B2"/>
    <w:rsid w:val="008243BE"/>
    <w:rsid w:val="008250E0"/>
    <w:rsid w:val="008262A3"/>
    <w:rsid w:val="00827418"/>
    <w:rsid w:val="0083061F"/>
    <w:rsid w:val="00830682"/>
    <w:rsid w:val="00830915"/>
    <w:rsid w:val="00831064"/>
    <w:rsid w:val="0083170F"/>
    <w:rsid w:val="00831758"/>
    <w:rsid w:val="0083223A"/>
    <w:rsid w:val="00832BBA"/>
    <w:rsid w:val="00832CD4"/>
    <w:rsid w:val="00833292"/>
    <w:rsid w:val="00833C0E"/>
    <w:rsid w:val="00834721"/>
    <w:rsid w:val="00835F61"/>
    <w:rsid w:val="008362F3"/>
    <w:rsid w:val="0083785E"/>
    <w:rsid w:val="00840E7E"/>
    <w:rsid w:val="0084169B"/>
    <w:rsid w:val="00842564"/>
    <w:rsid w:val="008426AB"/>
    <w:rsid w:val="008429E5"/>
    <w:rsid w:val="00843562"/>
    <w:rsid w:val="00843C8E"/>
    <w:rsid w:val="00843D6C"/>
    <w:rsid w:val="008445CF"/>
    <w:rsid w:val="00847A1A"/>
    <w:rsid w:val="008507BA"/>
    <w:rsid w:val="00850CA9"/>
    <w:rsid w:val="008528BF"/>
    <w:rsid w:val="00853A01"/>
    <w:rsid w:val="00853EBB"/>
    <w:rsid w:val="00854A7A"/>
    <w:rsid w:val="008559D1"/>
    <w:rsid w:val="00856254"/>
    <w:rsid w:val="00856D9B"/>
    <w:rsid w:val="00857C1E"/>
    <w:rsid w:val="0086140B"/>
    <w:rsid w:val="00861C24"/>
    <w:rsid w:val="008626B8"/>
    <w:rsid w:val="00862771"/>
    <w:rsid w:val="00862DD4"/>
    <w:rsid w:val="00862DD5"/>
    <w:rsid w:val="0086391F"/>
    <w:rsid w:val="0086457B"/>
    <w:rsid w:val="00864B5B"/>
    <w:rsid w:val="00864ED4"/>
    <w:rsid w:val="00865469"/>
    <w:rsid w:val="00865E8B"/>
    <w:rsid w:val="0086618D"/>
    <w:rsid w:val="00866626"/>
    <w:rsid w:val="00866B0F"/>
    <w:rsid w:val="00866F87"/>
    <w:rsid w:val="00866F8A"/>
    <w:rsid w:val="008674F5"/>
    <w:rsid w:val="00867573"/>
    <w:rsid w:val="00870524"/>
    <w:rsid w:val="008705AF"/>
    <w:rsid w:val="008712F1"/>
    <w:rsid w:val="00871A75"/>
    <w:rsid w:val="0087321A"/>
    <w:rsid w:val="00873EB2"/>
    <w:rsid w:val="008756EB"/>
    <w:rsid w:val="0087718F"/>
    <w:rsid w:val="00877EBD"/>
    <w:rsid w:val="0088220F"/>
    <w:rsid w:val="00882836"/>
    <w:rsid w:val="00882A03"/>
    <w:rsid w:val="00882A3F"/>
    <w:rsid w:val="00882FB2"/>
    <w:rsid w:val="00883B5B"/>
    <w:rsid w:val="00884961"/>
    <w:rsid w:val="00884A12"/>
    <w:rsid w:val="00884BBF"/>
    <w:rsid w:val="00885A3A"/>
    <w:rsid w:val="00886CF9"/>
    <w:rsid w:val="008875E5"/>
    <w:rsid w:val="00887A52"/>
    <w:rsid w:val="00887DFC"/>
    <w:rsid w:val="008901A1"/>
    <w:rsid w:val="00891ACB"/>
    <w:rsid w:val="00892B9D"/>
    <w:rsid w:val="0089355C"/>
    <w:rsid w:val="0089366C"/>
    <w:rsid w:val="00894286"/>
    <w:rsid w:val="00894CFE"/>
    <w:rsid w:val="00895CCC"/>
    <w:rsid w:val="008A06B6"/>
    <w:rsid w:val="008A4265"/>
    <w:rsid w:val="008A4855"/>
    <w:rsid w:val="008A4BBB"/>
    <w:rsid w:val="008A5171"/>
    <w:rsid w:val="008A5E48"/>
    <w:rsid w:val="008A73CE"/>
    <w:rsid w:val="008A7DEC"/>
    <w:rsid w:val="008B1FBB"/>
    <w:rsid w:val="008B3F72"/>
    <w:rsid w:val="008B4868"/>
    <w:rsid w:val="008B4D39"/>
    <w:rsid w:val="008B530D"/>
    <w:rsid w:val="008B549E"/>
    <w:rsid w:val="008B5B9F"/>
    <w:rsid w:val="008B60F6"/>
    <w:rsid w:val="008B770B"/>
    <w:rsid w:val="008C03A6"/>
    <w:rsid w:val="008C0C3D"/>
    <w:rsid w:val="008C16BA"/>
    <w:rsid w:val="008C24B9"/>
    <w:rsid w:val="008C2B0E"/>
    <w:rsid w:val="008C2B14"/>
    <w:rsid w:val="008C529D"/>
    <w:rsid w:val="008C541F"/>
    <w:rsid w:val="008C6201"/>
    <w:rsid w:val="008C6665"/>
    <w:rsid w:val="008C6819"/>
    <w:rsid w:val="008C7C27"/>
    <w:rsid w:val="008D0676"/>
    <w:rsid w:val="008D2554"/>
    <w:rsid w:val="008D30BB"/>
    <w:rsid w:val="008D459C"/>
    <w:rsid w:val="008D4DA0"/>
    <w:rsid w:val="008D6CE3"/>
    <w:rsid w:val="008D733D"/>
    <w:rsid w:val="008D75B2"/>
    <w:rsid w:val="008D7E2C"/>
    <w:rsid w:val="008E04BE"/>
    <w:rsid w:val="008E09A3"/>
    <w:rsid w:val="008E0D15"/>
    <w:rsid w:val="008E1EEE"/>
    <w:rsid w:val="008E3450"/>
    <w:rsid w:val="008E377A"/>
    <w:rsid w:val="008E37B3"/>
    <w:rsid w:val="008E3936"/>
    <w:rsid w:val="008E3C30"/>
    <w:rsid w:val="008E3E36"/>
    <w:rsid w:val="008E4128"/>
    <w:rsid w:val="008E4376"/>
    <w:rsid w:val="008E6A09"/>
    <w:rsid w:val="008E6E9D"/>
    <w:rsid w:val="008F0CF6"/>
    <w:rsid w:val="008F195A"/>
    <w:rsid w:val="008F2296"/>
    <w:rsid w:val="008F2DC1"/>
    <w:rsid w:val="008F32ED"/>
    <w:rsid w:val="008F3791"/>
    <w:rsid w:val="008F394E"/>
    <w:rsid w:val="008F3E74"/>
    <w:rsid w:val="008F438F"/>
    <w:rsid w:val="008F4A40"/>
    <w:rsid w:val="008F4F9B"/>
    <w:rsid w:val="008F50C6"/>
    <w:rsid w:val="008F53DB"/>
    <w:rsid w:val="008F5A21"/>
    <w:rsid w:val="008F6CB0"/>
    <w:rsid w:val="008F735E"/>
    <w:rsid w:val="008F7872"/>
    <w:rsid w:val="008F7965"/>
    <w:rsid w:val="008F7C60"/>
    <w:rsid w:val="00900918"/>
    <w:rsid w:val="0090208D"/>
    <w:rsid w:val="00902662"/>
    <w:rsid w:val="00902B71"/>
    <w:rsid w:val="00903190"/>
    <w:rsid w:val="00903501"/>
    <w:rsid w:val="00903DD6"/>
    <w:rsid w:val="00904399"/>
    <w:rsid w:val="00904C91"/>
    <w:rsid w:val="009058F1"/>
    <w:rsid w:val="009059A5"/>
    <w:rsid w:val="00905A7B"/>
    <w:rsid w:val="00906942"/>
    <w:rsid w:val="0090777F"/>
    <w:rsid w:val="009101FE"/>
    <w:rsid w:val="00910B64"/>
    <w:rsid w:val="00910F64"/>
    <w:rsid w:val="00911A03"/>
    <w:rsid w:val="00911DD4"/>
    <w:rsid w:val="0091221D"/>
    <w:rsid w:val="0091300C"/>
    <w:rsid w:val="009132C7"/>
    <w:rsid w:val="0091363A"/>
    <w:rsid w:val="009136E3"/>
    <w:rsid w:val="0091393D"/>
    <w:rsid w:val="009140AA"/>
    <w:rsid w:val="00914D08"/>
    <w:rsid w:val="00914F82"/>
    <w:rsid w:val="0091533F"/>
    <w:rsid w:val="00915678"/>
    <w:rsid w:val="009156A9"/>
    <w:rsid w:val="00915BD4"/>
    <w:rsid w:val="009160E4"/>
    <w:rsid w:val="0091643F"/>
    <w:rsid w:val="00916BC7"/>
    <w:rsid w:val="00917585"/>
    <w:rsid w:val="00917956"/>
    <w:rsid w:val="00920597"/>
    <w:rsid w:val="009206D4"/>
    <w:rsid w:val="009211BE"/>
    <w:rsid w:val="0092132A"/>
    <w:rsid w:val="0092266E"/>
    <w:rsid w:val="00922737"/>
    <w:rsid w:val="0092295E"/>
    <w:rsid w:val="00922DC8"/>
    <w:rsid w:val="00923C18"/>
    <w:rsid w:val="0092411D"/>
    <w:rsid w:val="00924FE4"/>
    <w:rsid w:val="00925682"/>
    <w:rsid w:val="009269C6"/>
    <w:rsid w:val="009278CF"/>
    <w:rsid w:val="00927C0F"/>
    <w:rsid w:val="00930257"/>
    <w:rsid w:val="00930727"/>
    <w:rsid w:val="00930B42"/>
    <w:rsid w:val="00932F1A"/>
    <w:rsid w:val="00932F6A"/>
    <w:rsid w:val="00933DC0"/>
    <w:rsid w:val="00934195"/>
    <w:rsid w:val="00934347"/>
    <w:rsid w:val="009343BA"/>
    <w:rsid w:val="00934E6B"/>
    <w:rsid w:val="009378E6"/>
    <w:rsid w:val="00937C05"/>
    <w:rsid w:val="009401A8"/>
    <w:rsid w:val="00940E13"/>
    <w:rsid w:val="009412AC"/>
    <w:rsid w:val="00942820"/>
    <w:rsid w:val="0094412F"/>
    <w:rsid w:val="009445E8"/>
    <w:rsid w:val="00944C49"/>
    <w:rsid w:val="00944F4B"/>
    <w:rsid w:val="009456C5"/>
    <w:rsid w:val="00945CDE"/>
    <w:rsid w:val="00946579"/>
    <w:rsid w:val="00947643"/>
    <w:rsid w:val="00951A80"/>
    <w:rsid w:val="009532AB"/>
    <w:rsid w:val="0095484A"/>
    <w:rsid w:val="00954E64"/>
    <w:rsid w:val="00955079"/>
    <w:rsid w:val="00956596"/>
    <w:rsid w:val="00957413"/>
    <w:rsid w:val="009606D1"/>
    <w:rsid w:val="00960B55"/>
    <w:rsid w:val="00961024"/>
    <w:rsid w:val="009636AB"/>
    <w:rsid w:val="009653DB"/>
    <w:rsid w:val="00965562"/>
    <w:rsid w:val="0096570D"/>
    <w:rsid w:val="00965988"/>
    <w:rsid w:val="00965A01"/>
    <w:rsid w:val="00967021"/>
    <w:rsid w:val="00967BA7"/>
    <w:rsid w:val="00971E36"/>
    <w:rsid w:val="00972202"/>
    <w:rsid w:val="00972437"/>
    <w:rsid w:val="00972603"/>
    <w:rsid w:val="00972E53"/>
    <w:rsid w:val="00973D6E"/>
    <w:rsid w:val="009742BB"/>
    <w:rsid w:val="009747D9"/>
    <w:rsid w:val="0097531B"/>
    <w:rsid w:val="0097640A"/>
    <w:rsid w:val="009766D6"/>
    <w:rsid w:val="00977439"/>
    <w:rsid w:val="00980001"/>
    <w:rsid w:val="009808DE"/>
    <w:rsid w:val="00980F67"/>
    <w:rsid w:val="0098120F"/>
    <w:rsid w:val="00981380"/>
    <w:rsid w:val="009813F4"/>
    <w:rsid w:val="009819B6"/>
    <w:rsid w:val="009824D4"/>
    <w:rsid w:val="00983029"/>
    <w:rsid w:val="00983324"/>
    <w:rsid w:val="009837A2"/>
    <w:rsid w:val="00983B33"/>
    <w:rsid w:val="00983D01"/>
    <w:rsid w:val="00983F08"/>
    <w:rsid w:val="009856AC"/>
    <w:rsid w:val="00985C5E"/>
    <w:rsid w:val="009864B8"/>
    <w:rsid w:val="00986838"/>
    <w:rsid w:val="009872BA"/>
    <w:rsid w:val="00991F94"/>
    <w:rsid w:val="009920F6"/>
    <w:rsid w:val="00993450"/>
    <w:rsid w:val="00993779"/>
    <w:rsid w:val="00993AD3"/>
    <w:rsid w:val="00995E95"/>
    <w:rsid w:val="00995FD9"/>
    <w:rsid w:val="009966DC"/>
    <w:rsid w:val="00996BC2"/>
    <w:rsid w:val="00997112"/>
    <w:rsid w:val="0099732F"/>
    <w:rsid w:val="00997B73"/>
    <w:rsid w:val="009A1E00"/>
    <w:rsid w:val="009A1FFE"/>
    <w:rsid w:val="009A2954"/>
    <w:rsid w:val="009A3134"/>
    <w:rsid w:val="009A33CC"/>
    <w:rsid w:val="009A3E3C"/>
    <w:rsid w:val="009A5433"/>
    <w:rsid w:val="009A6DA5"/>
    <w:rsid w:val="009B0112"/>
    <w:rsid w:val="009B026B"/>
    <w:rsid w:val="009B0861"/>
    <w:rsid w:val="009B086F"/>
    <w:rsid w:val="009B1609"/>
    <w:rsid w:val="009B1A20"/>
    <w:rsid w:val="009B2044"/>
    <w:rsid w:val="009B30E9"/>
    <w:rsid w:val="009B49AC"/>
    <w:rsid w:val="009B4E84"/>
    <w:rsid w:val="009B4F51"/>
    <w:rsid w:val="009B6491"/>
    <w:rsid w:val="009B6BBB"/>
    <w:rsid w:val="009B6BE1"/>
    <w:rsid w:val="009B6D57"/>
    <w:rsid w:val="009B6E69"/>
    <w:rsid w:val="009B722C"/>
    <w:rsid w:val="009B76E7"/>
    <w:rsid w:val="009C0189"/>
    <w:rsid w:val="009C02D4"/>
    <w:rsid w:val="009C092A"/>
    <w:rsid w:val="009C1DC5"/>
    <w:rsid w:val="009C2005"/>
    <w:rsid w:val="009C2744"/>
    <w:rsid w:val="009C3314"/>
    <w:rsid w:val="009C41D3"/>
    <w:rsid w:val="009C4C5F"/>
    <w:rsid w:val="009C6AD1"/>
    <w:rsid w:val="009C7873"/>
    <w:rsid w:val="009D012C"/>
    <w:rsid w:val="009D020E"/>
    <w:rsid w:val="009D02C2"/>
    <w:rsid w:val="009D0AE2"/>
    <w:rsid w:val="009D1851"/>
    <w:rsid w:val="009D2268"/>
    <w:rsid w:val="009D2BDE"/>
    <w:rsid w:val="009D349B"/>
    <w:rsid w:val="009D3831"/>
    <w:rsid w:val="009D39F4"/>
    <w:rsid w:val="009D4D5F"/>
    <w:rsid w:val="009D5BDB"/>
    <w:rsid w:val="009E003E"/>
    <w:rsid w:val="009E1732"/>
    <w:rsid w:val="009E2230"/>
    <w:rsid w:val="009E24E4"/>
    <w:rsid w:val="009E2A8F"/>
    <w:rsid w:val="009E35FB"/>
    <w:rsid w:val="009E390C"/>
    <w:rsid w:val="009E3AEA"/>
    <w:rsid w:val="009E4784"/>
    <w:rsid w:val="009E5A85"/>
    <w:rsid w:val="009E60B8"/>
    <w:rsid w:val="009E640D"/>
    <w:rsid w:val="009E660C"/>
    <w:rsid w:val="009F059C"/>
    <w:rsid w:val="009F16AB"/>
    <w:rsid w:val="009F1C41"/>
    <w:rsid w:val="009F41CA"/>
    <w:rsid w:val="009F4DB7"/>
    <w:rsid w:val="009F5857"/>
    <w:rsid w:val="009F5E38"/>
    <w:rsid w:val="009F617C"/>
    <w:rsid w:val="009F65CA"/>
    <w:rsid w:val="00A00009"/>
    <w:rsid w:val="00A00698"/>
    <w:rsid w:val="00A009E3"/>
    <w:rsid w:val="00A00AD8"/>
    <w:rsid w:val="00A010C4"/>
    <w:rsid w:val="00A039B5"/>
    <w:rsid w:val="00A04633"/>
    <w:rsid w:val="00A048A5"/>
    <w:rsid w:val="00A05715"/>
    <w:rsid w:val="00A06300"/>
    <w:rsid w:val="00A066D6"/>
    <w:rsid w:val="00A0753C"/>
    <w:rsid w:val="00A105FC"/>
    <w:rsid w:val="00A10C83"/>
    <w:rsid w:val="00A10C9E"/>
    <w:rsid w:val="00A112C4"/>
    <w:rsid w:val="00A114F6"/>
    <w:rsid w:val="00A115FA"/>
    <w:rsid w:val="00A12B14"/>
    <w:rsid w:val="00A13552"/>
    <w:rsid w:val="00A13F88"/>
    <w:rsid w:val="00A14A5F"/>
    <w:rsid w:val="00A15F27"/>
    <w:rsid w:val="00A169F7"/>
    <w:rsid w:val="00A17129"/>
    <w:rsid w:val="00A2115D"/>
    <w:rsid w:val="00A23BC3"/>
    <w:rsid w:val="00A23E5B"/>
    <w:rsid w:val="00A2432D"/>
    <w:rsid w:val="00A24695"/>
    <w:rsid w:val="00A26F1C"/>
    <w:rsid w:val="00A32228"/>
    <w:rsid w:val="00A34350"/>
    <w:rsid w:val="00A34DCE"/>
    <w:rsid w:val="00A35E70"/>
    <w:rsid w:val="00A36977"/>
    <w:rsid w:val="00A36F73"/>
    <w:rsid w:val="00A37783"/>
    <w:rsid w:val="00A409B9"/>
    <w:rsid w:val="00A413C4"/>
    <w:rsid w:val="00A422F0"/>
    <w:rsid w:val="00A426F9"/>
    <w:rsid w:val="00A42BFC"/>
    <w:rsid w:val="00A43CC8"/>
    <w:rsid w:val="00A452E9"/>
    <w:rsid w:val="00A45946"/>
    <w:rsid w:val="00A4624A"/>
    <w:rsid w:val="00A46886"/>
    <w:rsid w:val="00A47165"/>
    <w:rsid w:val="00A5098E"/>
    <w:rsid w:val="00A515E8"/>
    <w:rsid w:val="00A52B2E"/>
    <w:rsid w:val="00A52B76"/>
    <w:rsid w:val="00A52E75"/>
    <w:rsid w:val="00A52E89"/>
    <w:rsid w:val="00A52EAD"/>
    <w:rsid w:val="00A535D9"/>
    <w:rsid w:val="00A53A1B"/>
    <w:rsid w:val="00A5417D"/>
    <w:rsid w:val="00A54F9D"/>
    <w:rsid w:val="00A55518"/>
    <w:rsid w:val="00A56219"/>
    <w:rsid w:val="00A56E37"/>
    <w:rsid w:val="00A56F66"/>
    <w:rsid w:val="00A5754F"/>
    <w:rsid w:val="00A5793D"/>
    <w:rsid w:val="00A6009E"/>
    <w:rsid w:val="00A6058C"/>
    <w:rsid w:val="00A61197"/>
    <w:rsid w:val="00A625D6"/>
    <w:rsid w:val="00A62DD7"/>
    <w:rsid w:val="00A62F00"/>
    <w:rsid w:val="00A64297"/>
    <w:rsid w:val="00A642DC"/>
    <w:rsid w:val="00A66677"/>
    <w:rsid w:val="00A71464"/>
    <w:rsid w:val="00A714F8"/>
    <w:rsid w:val="00A718B3"/>
    <w:rsid w:val="00A72006"/>
    <w:rsid w:val="00A73F6A"/>
    <w:rsid w:val="00A741A7"/>
    <w:rsid w:val="00A76105"/>
    <w:rsid w:val="00A80E9B"/>
    <w:rsid w:val="00A815C6"/>
    <w:rsid w:val="00A81F02"/>
    <w:rsid w:val="00A8224E"/>
    <w:rsid w:val="00A831AC"/>
    <w:rsid w:val="00A834AC"/>
    <w:rsid w:val="00A83594"/>
    <w:rsid w:val="00A83B27"/>
    <w:rsid w:val="00A8586E"/>
    <w:rsid w:val="00A864BE"/>
    <w:rsid w:val="00A86B37"/>
    <w:rsid w:val="00A878C2"/>
    <w:rsid w:val="00A87CFC"/>
    <w:rsid w:val="00A90769"/>
    <w:rsid w:val="00A9092F"/>
    <w:rsid w:val="00A9125F"/>
    <w:rsid w:val="00A9132D"/>
    <w:rsid w:val="00A91DDA"/>
    <w:rsid w:val="00A91EE4"/>
    <w:rsid w:val="00A92598"/>
    <w:rsid w:val="00A93070"/>
    <w:rsid w:val="00A94D70"/>
    <w:rsid w:val="00A95909"/>
    <w:rsid w:val="00A96158"/>
    <w:rsid w:val="00A96593"/>
    <w:rsid w:val="00A96F37"/>
    <w:rsid w:val="00A97C58"/>
    <w:rsid w:val="00AA01A1"/>
    <w:rsid w:val="00AA085A"/>
    <w:rsid w:val="00AA08F4"/>
    <w:rsid w:val="00AA11F8"/>
    <w:rsid w:val="00AA18D9"/>
    <w:rsid w:val="00AA3339"/>
    <w:rsid w:val="00AA41F0"/>
    <w:rsid w:val="00AA4C81"/>
    <w:rsid w:val="00AA53F1"/>
    <w:rsid w:val="00AA54B1"/>
    <w:rsid w:val="00AA6A51"/>
    <w:rsid w:val="00AA6D4F"/>
    <w:rsid w:val="00AA6D58"/>
    <w:rsid w:val="00AA6E2C"/>
    <w:rsid w:val="00AA716D"/>
    <w:rsid w:val="00AA7360"/>
    <w:rsid w:val="00AA7CB1"/>
    <w:rsid w:val="00AB0447"/>
    <w:rsid w:val="00AB2000"/>
    <w:rsid w:val="00AB21A5"/>
    <w:rsid w:val="00AB2D50"/>
    <w:rsid w:val="00AB2D92"/>
    <w:rsid w:val="00AB2D99"/>
    <w:rsid w:val="00AB308E"/>
    <w:rsid w:val="00AB49F0"/>
    <w:rsid w:val="00AB5A41"/>
    <w:rsid w:val="00AB602D"/>
    <w:rsid w:val="00AB63B8"/>
    <w:rsid w:val="00AB7D96"/>
    <w:rsid w:val="00AC038B"/>
    <w:rsid w:val="00AC061C"/>
    <w:rsid w:val="00AC1C01"/>
    <w:rsid w:val="00AC1C6D"/>
    <w:rsid w:val="00AC1D93"/>
    <w:rsid w:val="00AC1E4F"/>
    <w:rsid w:val="00AC3EEB"/>
    <w:rsid w:val="00AC3F23"/>
    <w:rsid w:val="00AC58E3"/>
    <w:rsid w:val="00AC6E85"/>
    <w:rsid w:val="00AC7123"/>
    <w:rsid w:val="00AD1B50"/>
    <w:rsid w:val="00AD307D"/>
    <w:rsid w:val="00AD39B6"/>
    <w:rsid w:val="00AD3AFB"/>
    <w:rsid w:val="00AD42AC"/>
    <w:rsid w:val="00AD43C9"/>
    <w:rsid w:val="00AD54D9"/>
    <w:rsid w:val="00AD5B6E"/>
    <w:rsid w:val="00AD5BA1"/>
    <w:rsid w:val="00AD5D54"/>
    <w:rsid w:val="00AD6D98"/>
    <w:rsid w:val="00AD703C"/>
    <w:rsid w:val="00AD716C"/>
    <w:rsid w:val="00AD7B45"/>
    <w:rsid w:val="00AE0157"/>
    <w:rsid w:val="00AE10D8"/>
    <w:rsid w:val="00AE1C65"/>
    <w:rsid w:val="00AE25FC"/>
    <w:rsid w:val="00AE3573"/>
    <w:rsid w:val="00AE370D"/>
    <w:rsid w:val="00AE3908"/>
    <w:rsid w:val="00AE421C"/>
    <w:rsid w:val="00AE47C5"/>
    <w:rsid w:val="00AE5E3A"/>
    <w:rsid w:val="00AE60C3"/>
    <w:rsid w:val="00AE691A"/>
    <w:rsid w:val="00AE6984"/>
    <w:rsid w:val="00AE6EF3"/>
    <w:rsid w:val="00AE7645"/>
    <w:rsid w:val="00AE7A68"/>
    <w:rsid w:val="00AF0440"/>
    <w:rsid w:val="00AF0886"/>
    <w:rsid w:val="00AF08EF"/>
    <w:rsid w:val="00AF14A7"/>
    <w:rsid w:val="00AF17D8"/>
    <w:rsid w:val="00AF1984"/>
    <w:rsid w:val="00AF24DE"/>
    <w:rsid w:val="00AF2659"/>
    <w:rsid w:val="00AF2FF4"/>
    <w:rsid w:val="00AF4885"/>
    <w:rsid w:val="00AF4A21"/>
    <w:rsid w:val="00AF6AE0"/>
    <w:rsid w:val="00AF6EB4"/>
    <w:rsid w:val="00AF710D"/>
    <w:rsid w:val="00AF7165"/>
    <w:rsid w:val="00AF79D8"/>
    <w:rsid w:val="00B008FE"/>
    <w:rsid w:val="00B00AB4"/>
    <w:rsid w:val="00B01B1E"/>
    <w:rsid w:val="00B0388D"/>
    <w:rsid w:val="00B044FD"/>
    <w:rsid w:val="00B05441"/>
    <w:rsid w:val="00B0692B"/>
    <w:rsid w:val="00B07419"/>
    <w:rsid w:val="00B10B7C"/>
    <w:rsid w:val="00B10C01"/>
    <w:rsid w:val="00B11C62"/>
    <w:rsid w:val="00B12462"/>
    <w:rsid w:val="00B124C6"/>
    <w:rsid w:val="00B12543"/>
    <w:rsid w:val="00B1266E"/>
    <w:rsid w:val="00B12A24"/>
    <w:rsid w:val="00B13062"/>
    <w:rsid w:val="00B14B10"/>
    <w:rsid w:val="00B14BBB"/>
    <w:rsid w:val="00B14EFC"/>
    <w:rsid w:val="00B15E40"/>
    <w:rsid w:val="00B168F8"/>
    <w:rsid w:val="00B1716C"/>
    <w:rsid w:val="00B17ADF"/>
    <w:rsid w:val="00B17C04"/>
    <w:rsid w:val="00B17CBA"/>
    <w:rsid w:val="00B2064E"/>
    <w:rsid w:val="00B21770"/>
    <w:rsid w:val="00B21B77"/>
    <w:rsid w:val="00B22208"/>
    <w:rsid w:val="00B222C3"/>
    <w:rsid w:val="00B22825"/>
    <w:rsid w:val="00B22DD6"/>
    <w:rsid w:val="00B23B70"/>
    <w:rsid w:val="00B2439D"/>
    <w:rsid w:val="00B25347"/>
    <w:rsid w:val="00B2633D"/>
    <w:rsid w:val="00B26E8B"/>
    <w:rsid w:val="00B27121"/>
    <w:rsid w:val="00B274DC"/>
    <w:rsid w:val="00B278A4"/>
    <w:rsid w:val="00B30648"/>
    <w:rsid w:val="00B307B7"/>
    <w:rsid w:val="00B30927"/>
    <w:rsid w:val="00B30A0E"/>
    <w:rsid w:val="00B30F6F"/>
    <w:rsid w:val="00B3103F"/>
    <w:rsid w:val="00B31262"/>
    <w:rsid w:val="00B324AC"/>
    <w:rsid w:val="00B32BA0"/>
    <w:rsid w:val="00B33878"/>
    <w:rsid w:val="00B34128"/>
    <w:rsid w:val="00B34179"/>
    <w:rsid w:val="00B353C7"/>
    <w:rsid w:val="00B35A8D"/>
    <w:rsid w:val="00B35EA3"/>
    <w:rsid w:val="00B36113"/>
    <w:rsid w:val="00B36FFD"/>
    <w:rsid w:val="00B375F1"/>
    <w:rsid w:val="00B40265"/>
    <w:rsid w:val="00B40C34"/>
    <w:rsid w:val="00B416D2"/>
    <w:rsid w:val="00B428D6"/>
    <w:rsid w:val="00B42E49"/>
    <w:rsid w:val="00B43361"/>
    <w:rsid w:val="00B433BB"/>
    <w:rsid w:val="00B4356D"/>
    <w:rsid w:val="00B439CD"/>
    <w:rsid w:val="00B4428A"/>
    <w:rsid w:val="00B44470"/>
    <w:rsid w:val="00B471B8"/>
    <w:rsid w:val="00B47D60"/>
    <w:rsid w:val="00B47E65"/>
    <w:rsid w:val="00B509F1"/>
    <w:rsid w:val="00B50F8D"/>
    <w:rsid w:val="00B51556"/>
    <w:rsid w:val="00B53869"/>
    <w:rsid w:val="00B5394A"/>
    <w:rsid w:val="00B54C26"/>
    <w:rsid w:val="00B551D5"/>
    <w:rsid w:val="00B553A3"/>
    <w:rsid w:val="00B55428"/>
    <w:rsid w:val="00B5612E"/>
    <w:rsid w:val="00B56629"/>
    <w:rsid w:val="00B56B9B"/>
    <w:rsid w:val="00B60BC1"/>
    <w:rsid w:val="00B60F8E"/>
    <w:rsid w:val="00B611C6"/>
    <w:rsid w:val="00B61231"/>
    <w:rsid w:val="00B64654"/>
    <w:rsid w:val="00B64865"/>
    <w:rsid w:val="00B65ADE"/>
    <w:rsid w:val="00B65D6A"/>
    <w:rsid w:val="00B712D3"/>
    <w:rsid w:val="00B724F4"/>
    <w:rsid w:val="00B72B91"/>
    <w:rsid w:val="00B74476"/>
    <w:rsid w:val="00B74CAF"/>
    <w:rsid w:val="00B75A14"/>
    <w:rsid w:val="00B76EC6"/>
    <w:rsid w:val="00B77088"/>
    <w:rsid w:val="00B805C7"/>
    <w:rsid w:val="00B80834"/>
    <w:rsid w:val="00B811DC"/>
    <w:rsid w:val="00B81277"/>
    <w:rsid w:val="00B81B79"/>
    <w:rsid w:val="00B81D2F"/>
    <w:rsid w:val="00B8285F"/>
    <w:rsid w:val="00B8293E"/>
    <w:rsid w:val="00B8387D"/>
    <w:rsid w:val="00B83ABB"/>
    <w:rsid w:val="00B8431E"/>
    <w:rsid w:val="00B85930"/>
    <w:rsid w:val="00B85E8F"/>
    <w:rsid w:val="00B86055"/>
    <w:rsid w:val="00B87343"/>
    <w:rsid w:val="00B87690"/>
    <w:rsid w:val="00B92706"/>
    <w:rsid w:val="00B92747"/>
    <w:rsid w:val="00B92E1C"/>
    <w:rsid w:val="00B92F1F"/>
    <w:rsid w:val="00B934F1"/>
    <w:rsid w:val="00B93C56"/>
    <w:rsid w:val="00B956FF"/>
    <w:rsid w:val="00BA2FAE"/>
    <w:rsid w:val="00BA4601"/>
    <w:rsid w:val="00BA50D1"/>
    <w:rsid w:val="00BA5DE9"/>
    <w:rsid w:val="00BA6291"/>
    <w:rsid w:val="00BA69B9"/>
    <w:rsid w:val="00BB2001"/>
    <w:rsid w:val="00BB20F0"/>
    <w:rsid w:val="00BB2851"/>
    <w:rsid w:val="00BB2D32"/>
    <w:rsid w:val="00BB3440"/>
    <w:rsid w:val="00BB35A5"/>
    <w:rsid w:val="00BB403A"/>
    <w:rsid w:val="00BB4902"/>
    <w:rsid w:val="00BB4D7D"/>
    <w:rsid w:val="00BB51E0"/>
    <w:rsid w:val="00BB60E3"/>
    <w:rsid w:val="00BB6E2A"/>
    <w:rsid w:val="00BB6F80"/>
    <w:rsid w:val="00BB7457"/>
    <w:rsid w:val="00BC1CCF"/>
    <w:rsid w:val="00BC2415"/>
    <w:rsid w:val="00BC412B"/>
    <w:rsid w:val="00BC421C"/>
    <w:rsid w:val="00BC5872"/>
    <w:rsid w:val="00BC59D3"/>
    <w:rsid w:val="00BC5C8A"/>
    <w:rsid w:val="00BC7D33"/>
    <w:rsid w:val="00BD0CEE"/>
    <w:rsid w:val="00BD0E9B"/>
    <w:rsid w:val="00BD1F32"/>
    <w:rsid w:val="00BD3DBA"/>
    <w:rsid w:val="00BD4080"/>
    <w:rsid w:val="00BD4430"/>
    <w:rsid w:val="00BD4899"/>
    <w:rsid w:val="00BD4A0F"/>
    <w:rsid w:val="00BD6200"/>
    <w:rsid w:val="00BD714A"/>
    <w:rsid w:val="00BE1A9D"/>
    <w:rsid w:val="00BE2B73"/>
    <w:rsid w:val="00BE2DE0"/>
    <w:rsid w:val="00BE308B"/>
    <w:rsid w:val="00BE4B23"/>
    <w:rsid w:val="00BE685A"/>
    <w:rsid w:val="00BE7B36"/>
    <w:rsid w:val="00BF03E3"/>
    <w:rsid w:val="00BF18E5"/>
    <w:rsid w:val="00BF2633"/>
    <w:rsid w:val="00BF2B20"/>
    <w:rsid w:val="00BF398B"/>
    <w:rsid w:val="00BF3B41"/>
    <w:rsid w:val="00BF689C"/>
    <w:rsid w:val="00BF7025"/>
    <w:rsid w:val="00C00399"/>
    <w:rsid w:val="00C00581"/>
    <w:rsid w:val="00C016E2"/>
    <w:rsid w:val="00C02552"/>
    <w:rsid w:val="00C04B1E"/>
    <w:rsid w:val="00C04B8E"/>
    <w:rsid w:val="00C04DAC"/>
    <w:rsid w:val="00C06410"/>
    <w:rsid w:val="00C0727A"/>
    <w:rsid w:val="00C07DC4"/>
    <w:rsid w:val="00C07E4E"/>
    <w:rsid w:val="00C116F2"/>
    <w:rsid w:val="00C121C6"/>
    <w:rsid w:val="00C127AD"/>
    <w:rsid w:val="00C128C5"/>
    <w:rsid w:val="00C13261"/>
    <w:rsid w:val="00C14227"/>
    <w:rsid w:val="00C142B1"/>
    <w:rsid w:val="00C142D9"/>
    <w:rsid w:val="00C1491C"/>
    <w:rsid w:val="00C16E6C"/>
    <w:rsid w:val="00C1772A"/>
    <w:rsid w:val="00C20274"/>
    <w:rsid w:val="00C21D60"/>
    <w:rsid w:val="00C232A4"/>
    <w:rsid w:val="00C237B6"/>
    <w:rsid w:val="00C2392D"/>
    <w:rsid w:val="00C25299"/>
    <w:rsid w:val="00C2556C"/>
    <w:rsid w:val="00C261B1"/>
    <w:rsid w:val="00C2660F"/>
    <w:rsid w:val="00C26FE3"/>
    <w:rsid w:val="00C31A4F"/>
    <w:rsid w:val="00C32EE5"/>
    <w:rsid w:val="00C33198"/>
    <w:rsid w:val="00C35A74"/>
    <w:rsid w:val="00C35FC8"/>
    <w:rsid w:val="00C3685D"/>
    <w:rsid w:val="00C401B8"/>
    <w:rsid w:val="00C401DA"/>
    <w:rsid w:val="00C4034F"/>
    <w:rsid w:val="00C4044D"/>
    <w:rsid w:val="00C4054F"/>
    <w:rsid w:val="00C412B3"/>
    <w:rsid w:val="00C41B2E"/>
    <w:rsid w:val="00C41EC5"/>
    <w:rsid w:val="00C42544"/>
    <w:rsid w:val="00C42594"/>
    <w:rsid w:val="00C42BC4"/>
    <w:rsid w:val="00C42BF4"/>
    <w:rsid w:val="00C42E2F"/>
    <w:rsid w:val="00C45792"/>
    <w:rsid w:val="00C45894"/>
    <w:rsid w:val="00C45A45"/>
    <w:rsid w:val="00C45F77"/>
    <w:rsid w:val="00C46A26"/>
    <w:rsid w:val="00C46B1F"/>
    <w:rsid w:val="00C47862"/>
    <w:rsid w:val="00C479D4"/>
    <w:rsid w:val="00C50967"/>
    <w:rsid w:val="00C50C17"/>
    <w:rsid w:val="00C5171D"/>
    <w:rsid w:val="00C51B56"/>
    <w:rsid w:val="00C51EF9"/>
    <w:rsid w:val="00C52550"/>
    <w:rsid w:val="00C528BF"/>
    <w:rsid w:val="00C52E03"/>
    <w:rsid w:val="00C53903"/>
    <w:rsid w:val="00C548A3"/>
    <w:rsid w:val="00C54C48"/>
    <w:rsid w:val="00C54C8D"/>
    <w:rsid w:val="00C55012"/>
    <w:rsid w:val="00C56717"/>
    <w:rsid w:val="00C56FA5"/>
    <w:rsid w:val="00C600F4"/>
    <w:rsid w:val="00C607A9"/>
    <w:rsid w:val="00C61265"/>
    <w:rsid w:val="00C6433E"/>
    <w:rsid w:val="00C65529"/>
    <w:rsid w:val="00C66265"/>
    <w:rsid w:val="00C66306"/>
    <w:rsid w:val="00C67A13"/>
    <w:rsid w:val="00C67FC4"/>
    <w:rsid w:val="00C70BD2"/>
    <w:rsid w:val="00C750C2"/>
    <w:rsid w:val="00C75668"/>
    <w:rsid w:val="00C75B65"/>
    <w:rsid w:val="00C75BC0"/>
    <w:rsid w:val="00C76652"/>
    <w:rsid w:val="00C77020"/>
    <w:rsid w:val="00C77517"/>
    <w:rsid w:val="00C77FEC"/>
    <w:rsid w:val="00C80FE2"/>
    <w:rsid w:val="00C81BDE"/>
    <w:rsid w:val="00C81E45"/>
    <w:rsid w:val="00C83547"/>
    <w:rsid w:val="00C835DF"/>
    <w:rsid w:val="00C83F83"/>
    <w:rsid w:val="00C84BAB"/>
    <w:rsid w:val="00C85A82"/>
    <w:rsid w:val="00C865E1"/>
    <w:rsid w:val="00C866C0"/>
    <w:rsid w:val="00C86721"/>
    <w:rsid w:val="00C86A0D"/>
    <w:rsid w:val="00C86E55"/>
    <w:rsid w:val="00C86FE5"/>
    <w:rsid w:val="00C8704B"/>
    <w:rsid w:val="00C90117"/>
    <w:rsid w:val="00C90384"/>
    <w:rsid w:val="00C903D2"/>
    <w:rsid w:val="00C90F48"/>
    <w:rsid w:val="00C91C15"/>
    <w:rsid w:val="00C9260E"/>
    <w:rsid w:val="00C92F2E"/>
    <w:rsid w:val="00C940F2"/>
    <w:rsid w:val="00C9547E"/>
    <w:rsid w:val="00C9554B"/>
    <w:rsid w:val="00C95D95"/>
    <w:rsid w:val="00C96044"/>
    <w:rsid w:val="00C961B7"/>
    <w:rsid w:val="00C962B8"/>
    <w:rsid w:val="00C96903"/>
    <w:rsid w:val="00C97FBA"/>
    <w:rsid w:val="00CA1010"/>
    <w:rsid w:val="00CA1D61"/>
    <w:rsid w:val="00CA2107"/>
    <w:rsid w:val="00CA2A7F"/>
    <w:rsid w:val="00CA3184"/>
    <w:rsid w:val="00CA4045"/>
    <w:rsid w:val="00CA463F"/>
    <w:rsid w:val="00CA5568"/>
    <w:rsid w:val="00CA5BC2"/>
    <w:rsid w:val="00CA5F02"/>
    <w:rsid w:val="00CA6248"/>
    <w:rsid w:val="00CA707A"/>
    <w:rsid w:val="00CA7A59"/>
    <w:rsid w:val="00CB020E"/>
    <w:rsid w:val="00CB212A"/>
    <w:rsid w:val="00CB28B2"/>
    <w:rsid w:val="00CB2AC7"/>
    <w:rsid w:val="00CB453F"/>
    <w:rsid w:val="00CB661C"/>
    <w:rsid w:val="00CC09B6"/>
    <w:rsid w:val="00CC0C0D"/>
    <w:rsid w:val="00CC1A11"/>
    <w:rsid w:val="00CC24D3"/>
    <w:rsid w:val="00CC3B56"/>
    <w:rsid w:val="00CC56BF"/>
    <w:rsid w:val="00CC614D"/>
    <w:rsid w:val="00CC75B8"/>
    <w:rsid w:val="00CC7AF8"/>
    <w:rsid w:val="00CD04CD"/>
    <w:rsid w:val="00CD0581"/>
    <w:rsid w:val="00CD05F7"/>
    <w:rsid w:val="00CD0FC3"/>
    <w:rsid w:val="00CD1152"/>
    <w:rsid w:val="00CD14D3"/>
    <w:rsid w:val="00CD15E6"/>
    <w:rsid w:val="00CD2F5E"/>
    <w:rsid w:val="00CD31D9"/>
    <w:rsid w:val="00CD3FAD"/>
    <w:rsid w:val="00CD4325"/>
    <w:rsid w:val="00CD4C6B"/>
    <w:rsid w:val="00CD5425"/>
    <w:rsid w:val="00CD6397"/>
    <w:rsid w:val="00CD6F86"/>
    <w:rsid w:val="00CE171E"/>
    <w:rsid w:val="00CE18DD"/>
    <w:rsid w:val="00CE1DB0"/>
    <w:rsid w:val="00CE2958"/>
    <w:rsid w:val="00CE2BBF"/>
    <w:rsid w:val="00CE2D26"/>
    <w:rsid w:val="00CF04E2"/>
    <w:rsid w:val="00CF1166"/>
    <w:rsid w:val="00CF1A21"/>
    <w:rsid w:val="00CF364A"/>
    <w:rsid w:val="00CF3E05"/>
    <w:rsid w:val="00CF3FC4"/>
    <w:rsid w:val="00CF41CD"/>
    <w:rsid w:val="00CF469E"/>
    <w:rsid w:val="00CF58FB"/>
    <w:rsid w:val="00CF6331"/>
    <w:rsid w:val="00CF6D60"/>
    <w:rsid w:val="00CF7B1D"/>
    <w:rsid w:val="00D00F27"/>
    <w:rsid w:val="00D014B1"/>
    <w:rsid w:val="00D02580"/>
    <w:rsid w:val="00D02C77"/>
    <w:rsid w:val="00D05367"/>
    <w:rsid w:val="00D05404"/>
    <w:rsid w:val="00D05C5B"/>
    <w:rsid w:val="00D06A77"/>
    <w:rsid w:val="00D06BD3"/>
    <w:rsid w:val="00D07704"/>
    <w:rsid w:val="00D07F81"/>
    <w:rsid w:val="00D137F6"/>
    <w:rsid w:val="00D140B4"/>
    <w:rsid w:val="00D14404"/>
    <w:rsid w:val="00D146F4"/>
    <w:rsid w:val="00D1474E"/>
    <w:rsid w:val="00D15202"/>
    <w:rsid w:val="00D15441"/>
    <w:rsid w:val="00D15969"/>
    <w:rsid w:val="00D15CD5"/>
    <w:rsid w:val="00D164A8"/>
    <w:rsid w:val="00D164B3"/>
    <w:rsid w:val="00D16766"/>
    <w:rsid w:val="00D17067"/>
    <w:rsid w:val="00D17832"/>
    <w:rsid w:val="00D21157"/>
    <w:rsid w:val="00D217B0"/>
    <w:rsid w:val="00D22427"/>
    <w:rsid w:val="00D243B9"/>
    <w:rsid w:val="00D25AF6"/>
    <w:rsid w:val="00D25CD0"/>
    <w:rsid w:val="00D266A2"/>
    <w:rsid w:val="00D27C02"/>
    <w:rsid w:val="00D31295"/>
    <w:rsid w:val="00D31527"/>
    <w:rsid w:val="00D31960"/>
    <w:rsid w:val="00D32397"/>
    <w:rsid w:val="00D33C9F"/>
    <w:rsid w:val="00D34AA7"/>
    <w:rsid w:val="00D35C90"/>
    <w:rsid w:val="00D35F39"/>
    <w:rsid w:val="00D3668A"/>
    <w:rsid w:val="00D36B3A"/>
    <w:rsid w:val="00D40CA8"/>
    <w:rsid w:val="00D414EB"/>
    <w:rsid w:val="00D41550"/>
    <w:rsid w:val="00D422F1"/>
    <w:rsid w:val="00D427FE"/>
    <w:rsid w:val="00D42CB9"/>
    <w:rsid w:val="00D430B9"/>
    <w:rsid w:val="00D43613"/>
    <w:rsid w:val="00D43671"/>
    <w:rsid w:val="00D4376C"/>
    <w:rsid w:val="00D437BF"/>
    <w:rsid w:val="00D437C9"/>
    <w:rsid w:val="00D4484A"/>
    <w:rsid w:val="00D44C7B"/>
    <w:rsid w:val="00D458DC"/>
    <w:rsid w:val="00D46073"/>
    <w:rsid w:val="00D47AFE"/>
    <w:rsid w:val="00D47EC3"/>
    <w:rsid w:val="00D51374"/>
    <w:rsid w:val="00D52849"/>
    <w:rsid w:val="00D55A56"/>
    <w:rsid w:val="00D56D14"/>
    <w:rsid w:val="00D56EB9"/>
    <w:rsid w:val="00D61205"/>
    <w:rsid w:val="00D616A1"/>
    <w:rsid w:val="00D63395"/>
    <w:rsid w:val="00D636D6"/>
    <w:rsid w:val="00D637A9"/>
    <w:rsid w:val="00D64556"/>
    <w:rsid w:val="00D65886"/>
    <w:rsid w:val="00D65DA4"/>
    <w:rsid w:val="00D70233"/>
    <w:rsid w:val="00D7024C"/>
    <w:rsid w:val="00D70895"/>
    <w:rsid w:val="00D70D52"/>
    <w:rsid w:val="00D71D73"/>
    <w:rsid w:val="00D72675"/>
    <w:rsid w:val="00D73C1D"/>
    <w:rsid w:val="00D740C3"/>
    <w:rsid w:val="00D7424C"/>
    <w:rsid w:val="00D7474B"/>
    <w:rsid w:val="00D752E3"/>
    <w:rsid w:val="00D75B35"/>
    <w:rsid w:val="00D771E2"/>
    <w:rsid w:val="00D803A5"/>
    <w:rsid w:val="00D809D9"/>
    <w:rsid w:val="00D80B6A"/>
    <w:rsid w:val="00D80CC1"/>
    <w:rsid w:val="00D81691"/>
    <w:rsid w:val="00D81D51"/>
    <w:rsid w:val="00D83B66"/>
    <w:rsid w:val="00D8421F"/>
    <w:rsid w:val="00D84F46"/>
    <w:rsid w:val="00D853DD"/>
    <w:rsid w:val="00D858DD"/>
    <w:rsid w:val="00D85B51"/>
    <w:rsid w:val="00D85E40"/>
    <w:rsid w:val="00D86946"/>
    <w:rsid w:val="00D90ACA"/>
    <w:rsid w:val="00D926F9"/>
    <w:rsid w:val="00D92C36"/>
    <w:rsid w:val="00D930D3"/>
    <w:rsid w:val="00D931D9"/>
    <w:rsid w:val="00D93995"/>
    <w:rsid w:val="00D94C5E"/>
    <w:rsid w:val="00D96C28"/>
    <w:rsid w:val="00D9728B"/>
    <w:rsid w:val="00D97409"/>
    <w:rsid w:val="00D97822"/>
    <w:rsid w:val="00DA01CD"/>
    <w:rsid w:val="00DA17B1"/>
    <w:rsid w:val="00DA196E"/>
    <w:rsid w:val="00DA22FE"/>
    <w:rsid w:val="00DA332A"/>
    <w:rsid w:val="00DA37CD"/>
    <w:rsid w:val="00DA4CED"/>
    <w:rsid w:val="00DA4EE2"/>
    <w:rsid w:val="00DA6629"/>
    <w:rsid w:val="00DA66EE"/>
    <w:rsid w:val="00DA6A62"/>
    <w:rsid w:val="00DA6E6E"/>
    <w:rsid w:val="00DA7BEB"/>
    <w:rsid w:val="00DB0C9D"/>
    <w:rsid w:val="00DB13AB"/>
    <w:rsid w:val="00DB1BCD"/>
    <w:rsid w:val="00DB2CAF"/>
    <w:rsid w:val="00DB2F67"/>
    <w:rsid w:val="00DB39DF"/>
    <w:rsid w:val="00DB4794"/>
    <w:rsid w:val="00DB615F"/>
    <w:rsid w:val="00DB75E0"/>
    <w:rsid w:val="00DC003E"/>
    <w:rsid w:val="00DC092E"/>
    <w:rsid w:val="00DC1CA2"/>
    <w:rsid w:val="00DC1D2D"/>
    <w:rsid w:val="00DC228D"/>
    <w:rsid w:val="00DC2358"/>
    <w:rsid w:val="00DC2A40"/>
    <w:rsid w:val="00DC2BDD"/>
    <w:rsid w:val="00DC38EF"/>
    <w:rsid w:val="00DC3F36"/>
    <w:rsid w:val="00DC413B"/>
    <w:rsid w:val="00DC44DB"/>
    <w:rsid w:val="00DC5E9E"/>
    <w:rsid w:val="00DC7F96"/>
    <w:rsid w:val="00DD0194"/>
    <w:rsid w:val="00DD01E4"/>
    <w:rsid w:val="00DD0542"/>
    <w:rsid w:val="00DD0CD9"/>
    <w:rsid w:val="00DD17B2"/>
    <w:rsid w:val="00DD2614"/>
    <w:rsid w:val="00DD48D3"/>
    <w:rsid w:val="00DD5BB4"/>
    <w:rsid w:val="00DD68D5"/>
    <w:rsid w:val="00DD7BC4"/>
    <w:rsid w:val="00DD7C24"/>
    <w:rsid w:val="00DE01F0"/>
    <w:rsid w:val="00DE0813"/>
    <w:rsid w:val="00DE20BB"/>
    <w:rsid w:val="00DE2203"/>
    <w:rsid w:val="00DE2803"/>
    <w:rsid w:val="00DE2EC8"/>
    <w:rsid w:val="00DE477A"/>
    <w:rsid w:val="00DE56E2"/>
    <w:rsid w:val="00DE5884"/>
    <w:rsid w:val="00DE688B"/>
    <w:rsid w:val="00DE6D62"/>
    <w:rsid w:val="00DE7032"/>
    <w:rsid w:val="00DE7A3F"/>
    <w:rsid w:val="00DF08F1"/>
    <w:rsid w:val="00DF12D6"/>
    <w:rsid w:val="00DF1CDA"/>
    <w:rsid w:val="00DF2774"/>
    <w:rsid w:val="00DF3A5A"/>
    <w:rsid w:val="00DF3AC7"/>
    <w:rsid w:val="00DF452C"/>
    <w:rsid w:val="00DF5569"/>
    <w:rsid w:val="00DF6336"/>
    <w:rsid w:val="00DF6602"/>
    <w:rsid w:val="00DF6674"/>
    <w:rsid w:val="00DF6E93"/>
    <w:rsid w:val="00DF74D2"/>
    <w:rsid w:val="00E0373A"/>
    <w:rsid w:val="00E0493B"/>
    <w:rsid w:val="00E04BB6"/>
    <w:rsid w:val="00E0515E"/>
    <w:rsid w:val="00E061FD"/>
    <w:rsid w:val="00E0678F"/>
    <w:rsid w:val="00E075AF"/>
    <w:rsid w:val="00E078ED"/>
    <w:rsid w:val="00E10584"/>
    <w:rsid w:val="00E11F8A"/>
    <w:rsid w:val="00E12136"/>
    <w:rsid w:val="00E12874"/>
    <w:rsid w:val="00E1322D"/>
    <w:rsid w:val="00E13AB6"/>
    <w:rsid w:val="00E144A1"/>
    <w:rsid w:val="00E154A5"/>
    <w:rsid w:val="00E166CA"/>
    <w:rsid w:val="00E17C3F"/>
    <w:rsid w:val="00E200E0"/>
    <w:rsid w:val="00E2090D"/>
    <w:rsid w:val="00E209AD"/>
    <w:rsid w:val="00E20DD8"/>
    <w:rsid w:val="00E2142B"/>
    <w:rsid w:val="00E215EB"/>
    <w:rsid w:val="00E22100"/>
    <w:rsid w:val="00E22928"/>
    <w:rsid w:val="00E22EA2"/>
    <w:rsid w:val="00E2322E"/>
    <w:rsid w:val="00E25206"/>
    <w:rsid w:val="00E255AC"/>
    <w:rsid w:val="00E25B86"/>
    <w:rsid w:val="00E301F6"/>
    <w:rsid w:val="00E317C1"/>
    <w:rsid w:val="00E31B8A"/>
    <w:rsid w:val="00E3272F"/>
    <w:rsid w:val="00E3327F"/>
    <w:rsid w:val="00E335E3"/>
    <w:rsid w:val="00E34D2C"/>
    <w:rsid w:val="00E37788"/>
    <w:rsid w:val="00E401E3"/>
    <w:rsid w:val="00E40591"/>
    <w:rsid w:val="00E405CC"/>
    <w:rsid w:val="00E40F02"/>
    <w:rsid w:val="00E40FB1"/>
    <w:rsid w:val="00E41A6A"/>
    <w:rsid w:val="00E42A8C"/>
    <w:rsid w:val="00E4376E"/>
    <w:rsid w:val="00E44FE0"/>
    <w:rsid w:val="00E453D6"/>
    <w:rsid w:val="00E45C8A"/>
    <w:rsid w:val="00E45D29"/>
    <w:rsid w:val="00E470A1"/>
    <w:rsid w:val="00E50B2D"/>
    <w:rsid w:val="00E5101D"/>
    <w:rsid w:val="00E5130E"/>
    <w:rsid w:val="00E51437"/>
    <w:rsid w:val="00E5218F"/>
    <w:rsid w:val="00E532EE"/>
    <w:rsid w:val="00E5396C"/>
    <w:rsid w:val="00E542B7"/>
    <w:rsid w:val="00E54E59"/>
    <w:rsid w:val="00E60A70"/>
    <w:rsid w:val="00E61E81"/>
    <w:rsid w:val="00E6253D"/>
    <w:rsid w:val="00E628A8"/>
    <w:rsid w:val="00E63721"/>
    <w:rsid w:val="00E63A15"/>
    <w:rsid w:val="00E63ADD"/>
    <w:rsid w:val="00E64F9F"/>
    <w:rsid w:val="00E663AB"/>
    <w:rsid w:val="00E66D58"/>
    <w:rsid w:val="00E66E2E"/>
    <w:rsid w:val="00E7150F"/>
    <w:rsid w:val="00E71F64"/>
    <w:rsid w:val="00E71FE0"/>
    <w:rsid w:val="00E73570"/>
    <w:rsid w:val="00E73CCC"/>
    <w:rsid w:val="00E74460"/>
    <w:rsid w:val="00E75035"/>
    <w:rsid w:val="00E767FA"/>
    <w:rsid w:val="00E81108"/>
    <w:rsid w:val="00E8118D"/>
    <w:rsid w:val="00E81B10"/>
    <w:rsid w:val="00E82257"/>
    <w:rsid w:val="00E8264F"/>
    <w:rsid w:val="00E82FCA"/>
    <w:rsid w:val="00E83224"/>
    <w:rsid w:val="00E83DC3"/>
    <w:rsid w:val="00E849A5"/>
    <w:rsid w:val="00E86D1E"/>
    <w:rsid w:val="00E877E5"/>
    <w:rsid w:val="00E87C9E"/>
    <w:rsid w:val="00E90068"/>
    <w:rsid w:val="00E90486"/>
    <w:rsid w:val="00E90E30"/>
    <w:rsid w:val="00E92B37"/>
    <w:rsid w:val="00E93174"/>
    <w:rsid w:val="00E93417"/>
    <w:rsid w:val="00E93AF8"/>
    <w:rsid w:val="00E93D08"/>
    <w:rsid w:val="00E94774"/>
    <w:rsid w:val="00E95841"/>
    <w:rsid w:val="00E95E3B"/>
    <w:rsid w:val="00E966DE"/>
    <w:rsid w:val="00E967B8"/>
    <w:rsid w:val="00E96FC7"/>
    <w:rsid w:val="00E97163"/>
    <w:rsid w:val="00E97648"/>
    <w:rsid w:val="00EA0A99"/>
    <w:rsid w:val="00EA0E04"/>
    <w:rsid w:val="00EA2136"/>
    <w:rsid w:val="00EA3012"/>
    <w:rsid w:val="00EA42AF"/>
    <w:rsid w:val="00EA4764"/>
    <w:rsid w:val="00EA4C72"/>
    <w:rsid w:val="00EA50D6"/>
    <w:rsid w:val="00EA55A5"/>
    <w:rsid w:val="00EA5DCC"/>
    <w:rsid w:val="00EA7875"/>
    <w:rsid w:val="00EA7C77"/>
    <w:rsid w:val="00EB0022"/>
    <w:rsid w:val="00EB00DA"/>
    <w:rsid w:val="00EB0171"/>
    <w:rsid w:val="00EB106C"/>
    <w:rsid w:val="00EB178A"/>
    <w:rsid w:val="00EB1A55"/>
    <w:rsid w:val="00EB1CB0"/>
    <w:rsid w:val="00EB212A"/>
    <w:rsid w:val="00EB2699"/>
    <w:rsid w:val="00EB315C"/>
    <w:rsid w:val="00EB3C0E"/>
    <w:rsid w:val="00EB46C5"/>
    <w:rsid w:val="00EB49A6"/>
    <w:rsid w:val="00EB4F67"/>
    <w:rsid w:val="00EB517A"/>
    <w:rsid w:val="00EB543E"/>
    <w:rsid w:val="00EB7E6C"/>
    <w:rsid w:val="00EC06BA"/>
    <w:rsid w:val="00EC0A0D"/>
    <w:rsid w:val="00EC2022"/>
    <w:rsid w:val="00EC3D39"/>
    <w:rsid w:val="00EC449D"/>
    <w:rsid w:val="00EC5F2A"/>
    <w:rsid w:val="00EC6455"/>
    <w:rsid w:val="00EC7319"/>
    <w:rsid w:val="00EC75D6"/>
    <w:rsid w:val="00ED039C"/>
    <w:rsid w:val="00ED04EB"/>
    <w:rsid w:val="00ED06E8"/>
    <w:rsid w:val="00ED13E7"/>
    <w:rsid w:val="00ED1D4E"/>
    <w:rsid w:val="00ED1DF8"/>
    <w:rsid w:val="00ED1F3D"/>
    <w:rsid w:val="00ED2399"/>
    <w:rsid w:val="00ED2530"/>
    <w:rsid w:val="00ED2947"/>
    <w:rsid w:val="00ED2E39"/>
    <w:rsid w:val="00ED4744"/>
    <w:rsid w:val="00ED5061"/>
    <w:rsid w:val="00ED5D7B"/>
    <w:rsid w:val="00ED7F7A"/>
    <w:rsid w:val="00EE07B3"/>
    <w:rsid w:val="00EE1A07"/>
    <w:rsid w:val="00EE1B46"/>
    <w:rsid w:val="00EE2062"/>
    <w:rsid w:val="00EE27A5"/>
    <w:rsid w:val="00EE28C9"/>
    <w:rsid w:val="00EE3752"/>
    <w:rsid w:val="00EE43C2"/>
    <w:rsid w:val="00EE496B"/>
    <w:rsid w:val="00EE4EBC"/>
    <w:rsid w:val="00EE55E2"/>
    <w:rsid w:val="00EE5712"/>
    <w:rsid w:val="00EE5BFF"/>
    <w:rsid w:val="00EE5F80"/>
    <w:rsid w:val="00EE78C8"/>
    <w:rsid w:val="00EF1962"/>
    <w:rsid w:val="00EF39C8"/>
    <w:rsid w:val="00EF424A"/>
    <w:rsid w:val="00EF522A"/>
    <w:rsid w:val="00EF6CD9"/>
    <w:rsid w:val="00EF7914"/>
    <w:rsid w:val="00EF7B76"/>
    <w:rsid w:val="00EF7EB1"/>
    <w:rsid w:val="00F004BD"/>
    <w:rsid w:val="00F0051F"/>
    <w:rsid w:val="00F012A9"/>
    <w:rsid w:val="00F0183F"/>
    <w:rsid w:val="00F02212"/>
    <w:rsid w:val="00F028FB"/>
    <w:rsid w:val="00F02C66"/>
    <w:rsid w:val="00F03B50"/>
    <w:rsid w:val="00F042C1"/>
    <w:rsid w:val="00F04FD1"/>
    <w:rsid w:val="00F06735"/>
    <w:rsid w:val="00F07AA3"/>
    <w:rsid w:val="00F11496"/>
    <w:rsid w:val="00F1152A"/>
    <w:rsid w:val="00F118A9"/>
    <w:rsid w:val="00F131FB"/>
    <w:rsid w:val="00F13B9D"/>
    <w:rsid w:val="00F163EB"/>
    <w:rsid w:val="00F16C32"/>
    <w:rsid w:val="00F1769D"/>
    <w:rsid w:val="00F17726"/>
    <w:rsid w:val="00F17DF8"/>
    <w:rsid w:val="00F2124F"/>
    <w:rsid w:val="00F222A5"/>
    <w:rsid w:val="00F229C1"/>
    <w:rsid w:val="00F22D5A"/>
    <w:rsid w:val="00F233EB"/>
    <w:rsid w:val="00F23A1A"/>
    <w:rsid w:val="00F23A23"/>
    <w:rsid w:val="00F242A7"/>
    <w:rsid w:val="00F24367"/>
    <w:rsid w:val="00F26578"/>
    <w:rsid w:val="00F31157"/>
    <w:rsid w:val="00F31461"/>
    <w:rsid w:val="00F31758"/>
    <w:rsid w:val="00F33AD0"/>
    <w:rsid w:val="00F35F29"/>
    <w:rsid w:val="00F36345"/>
    <w:rsid w:val="00F3697B"/>
    <w:rsid w:val="00F377CC"/>
    <w:rsid w:val="00F37D29"/>
    <w:rsid w:val="00F41982"/>
    <w:rsid w:val="00F4198C"/>
    <w:rsid w:val="00F41E2E"/>
    <w:rsid w:val="00F41F6A"/>
    <w:rsid w:val="00F430FD"/>
    <w:rsid w:val="00F43946"/>
    <w:rsid w:val="00F4551D"/>
    <w:rsid w:val="00F4562F"/>
    <w:rsid w:val="00F45BFE"/>
    <w:rsid w:val="00F45C61"/>
    <w:rsid w:val="00F47268"/>
    <w:rsid w:val="00F47FC8"/>
    <w:rsid w:val="00F50A53"/>
    <w:rsid w:val="00F516CF"/>
    <w:rsid w:val="00F534A9"/>
    <w:rsid w:val="00F53857"/>
    <w:rsid w:val="00F539E1"/>
    <w:rsid w:val="00F53FBC"/>
    <w:rsid w:val="00F54E63"/>
    <w:rsid w:val="00F5501B"/>
    <w:rsid w:val="00F5545B"/>
    <w:rsid w:val="00F554E2"/>
    <w:rsid w:val="00F55A3A"/>
    <w:rsid w:val="00F57331"/>
    <w:rsid w:val="00F61DF9"/>
    <w:rsid w:val="00F620FB"/>
    <w:rsid w:val="00F625FC"/>
    <w:rsid w:val="00F630DC"/>
    <w:rsid w:val="00F638F3"/>
    <w:rsid w:val="00F647F0"/>
    <w:rsid w:val="00F65181"/>
    <w:rsid w:val="00F65562"/>
    <w:rsid w:val="00F655B5"/>
    <w:rsid w:val="00F65CE3"/>
    <w:rsid w:val="00F66C25"/>
    <w:rsid w:val="00F67627"/>
    <w:rsid w:val="00F6768E"/>
    <w:rsid w:val="00F70A64"/>
    <w:rsid w:val="00F70BCE"/>
    <w:rsid w:val="00F710EF"/>
    <w:rsid w:val="00F726A7"/>
    <w:rsid w:val="00F72D2E"/>
    <w:rsid w:val="00F73261"/>
    <w:rsid w:val="00F73507"/>
    <w:rsid w:val="00F73B17"/>
    <w:rsid w:val="00F74D71"/>
    <w:rsid w:val="00F75D00"/>
    <w:rsid w:val="00F762A6"/>
    <w:rsid w:val="00F770A2"/>
    <w:rsid w:val="00F805DE"/>
    <w:rsid w:val="00F805E1"/>
    <w:rsid w:val="00F80628"/>
    <w:rsid w:val="00F80F1B"/>
    <w:rsid w:val="00F82BEB"/>
    <w:rsid w:val="00F82D4F"/>
    <w:rsid w:val="00F8386B"/>
    <w:rsid w:val="00F84466"/>
    <w:rsid w:val="00F84D59"/>
    <w:rsid w:val="00F85119"/>
    <w:rsid w:val="00F85CE3"/>
    <w:rsid w:val="00F85DDC"/>
    <w:rsid w:val="00F86AA2"/>
    <w:rsid w:val="00F90795"/>
    <w:rsid w:val="00F91484"/>
    <w:rsid w:val="00F9151C"/>
    <w:rsid w:val="00F91D0B"/>
    <w:rsid w:val="00F92036"/>
    <w:rsid w:val="00F94703"/>
    <w:rsid w:val="00F94869"/>
    <w:rsid w:val="00F948F8"/>
    <w:rsid w:val="00F96308"/>
    <w:rsid w:val="00F96678"/>
    <w:rsid w:val="00F96B17"/>
    <w:rsid w:val="00F96FAD"/>
    <w:rsid w:val="00F975CC"/>
    <w:rsid w:val="00F97821"/>
    <w:rsid w:val="00F97ADD"/>
    <w:rsid w:val="00FA08AB"/>
    <w:rsid w:val="00FA0E27"/>
    <w:rsid w:val="00FA1336"/>
    <w:rsid w:val="00FA204D"/>
    <w:rsid w:val="00FA25B3"/>
    <w:rsid w:val="00FA29AB"/>
    <w:rsid w:val="00FA3265"/>
    <w:rsid w:val="00FA3A96"/>
    <w:rsid w:val="00FA41A1"/>
    <w:rsid w:val="00FB01B6"/>
    <w:rsid w:val="00FB1709"/>
    <w:rsid w:val="00FB3856"/>
    <w:rsid w:val="00FB39E5"/>
    <w:rsid w:val="00FB3B95"/>
    <w:rsid w:val="00FB4267"/>
    <w:rsid w:val="00FB4468"/>
    <w:rsid w:val="00FB44C3"/>
    <w:rsid w:val="00FB61FA"/>
    <w:rsid w:val="00FB64E9"/>
    <w:rsid w:val="00FB6A71"/>
    <w:rsid w:val="00FC2407"/>
    <w:rsid w:val="00FC260B"/>
    <w:rsid w:val="00FC2D8B"/>
    <w:rsid w:val="00FC4E5F"/>
    <w:rsid w:val="00FC5E1B"/>
    <w:rsid w:val="00FC6672"/>
    <w:rsid w:val="00FC6B90"/>
    <w:rsid w:val="00FC6DC6"/>
    <w:rsid w:val="00FC7628"/>
    <w:rsid w:val="00FD02EB"/>
    <w:rsid w:val="00FD07DF"/>
    <w:rsid w:val="00FD0BBB"/>
    <w:rsid w:val="00FD20EE"/>
    <w:rsid w:val="00FD4123"/>
    <w:rsid w:val="00FD4151"/>
    <w:rsid w:val="00FD42E6"/>
    <w:rsid w:val="00FD4F2D"/>
    <w:rsid w:val="00FD5CEE"/>
    <w:rsid w:val="00FD6CD3"/>
    <w:rsid w:val="00FD7599"/>
    <w:rsid w:val="00FE011A"/>
    <w:rsid w:val="00FE069E"/>
    <w:rsid w:val="00FE20AA"/>
    <w:rsid w:val="00FE283D"/>
    <w:rsid w:val="00FE29B8"/>
    <w:rsid w:val="00FE2F7A"/>
    <w:rsid w:val="00FE327A"/>
    <w:rsid w:val="00FE3351"/>
    <w:rsid w:val="00FE3B79"/>
    <w:rsid w:val="00FE634D"/>
    <w:rsid w:val="00FE6605"/>
    <w:rsid w:val="00FE6D19"/>
    <w:rsid w:val="00FE7481"/>
    <w:rsid w:val="00FE7620"/>
    <w:rsid w:val="00FE7FAA"/>
    <w:rsid w:val="00FF0796"/>
    <w:rsid w:val="00FF1A30"/>
    <w:rsid w:val="00FF1BF5"/>
    <w:rsid w:val="00FF2EDE"/>
    <w:rsid w:val="00FF3742"/>
    <w:rsid w:val="00FF3894"/>
    <w:rsid w:val="00FF5549"/>
    <w:rsid w:val="00FF5623"/>
    <w:rsid w:val="00FF6790"/>
    <w:rsid w:val="00FF69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854D99D"/>
  <w15:docId w15:val="{EB1E96A0-3ED1-4FEA-8084-12936825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D32"/>
    <w:pPr>
      <w:spacing w:after="360" w:line="360" w:lineRule="auto"/>
      <w:jc w:val="both"/>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DA7B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11C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055"/>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B86055"/>
  </w:style>
  <w:style w:type="paragraph" w:styleId="Footer">
    <w:name w:val="footer"/>
    <w:basedOn w:val="Normal"/>
    <w:link w:val="FooterChar"/>
    <w:uiPriority w:val="99"/>
    <w:unhideWhenUsed/>
    <w:rsid w:val="00B86055"/>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B86055"/>
  </w:style>
  <w:style w:type="paragraph" w:styleId="BalloonText">
    <w:name w:val="Balloon Text"/>
    <w:basedOn w:val="Normal"/>
    <w:link w:val="BalloonTextChar"/>
    <w:uiPriority w:val="99"/>
    <w:semiHidden/>
    <w:unhideWhenUsed/>
    <w:rsid w:val="00B86055"/>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86055"/>
    <w:rPr>
      <w:rFonts w:ascii="Tahoma" w:hAnsi="Tahoma" w:cs="Tahoma"/>
      <w:sz w:val="16"/>
      <w:szCs w:val="16"/>
    </w:rPr>
  </w:style>
  <w:style w:type="paragraph" w:styleId="BodyText">
    <w:name w:val="Body Text"/>
    <w:basedOn w:val="Normal"/>
    <w:link w:val="BodyTextChar"/>
    <w:rsid w:val="005363F7"/>
    <w:pPr>
      <w:spacing w:after="0" w:line="240" w:lineRule="auto"/>
    </w:pPr>
    <w:rPr>
      <w:rFonts w:eastAsia="Times New Roman"/>
      <w:szCs w:val="24"/>
    </w:rPr>
  </w:style>
  <w:style w:type="character" w:customStyle="1" w:styleId="BodyTextChar">
    <w:name w:val="Body Text Char"/>
    <w:basedOn w:val="DefaultParagraphFont"/>
    <w:link w:val="BodyText"/>
    <w:rsid w:val="005363F7"/>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AE3908"/>
    <w:pPr>
      <w:ind w:left="720"/>
      <w:contextualSpacing/>
    </w:pPr>
  </w:style>
  <w:style w:type="character" w:styleId="CommentReference">
    <w:name w:val="annotation reference"/>
    <w:basedOn w:val="DefaultParagraphFont"/>
    <w:uiPriority w:val="99"/>
    <w:unhideWhenUsed/>
    <w:rsid w:val="00AE3908"/>
    <w:rPr>
      <w:sz w:val="16"/>
      <w:szCs w:val="16"/>
    </w:rPr>
  </w:style>
  <w:style w:type="paragraph" w:styleId="CommentText">
    <w:name w:val="annotation text"/>
    <w:basedOn w:val="Normal"/>
    <w:link w:val="CommentTextChar"/>
    <w:uiPriority w:val="99"/>
    <w:unhideWhenUsed/>
    <w:rsid w:val="00AE3908"/>
    <w:pPr>
      <w:spacing w:line="240" w:lineRule="auto"/>
    </w:pPr>
    <w:rPr>
      <w:sz w:val="20"/>
      <w:szCs w:val="20"/>
    </w:rPr>
  </w:style>
  <w:style w:type="character" w:customStyle="1" w:styleId="CommentTextChar">
    <w:name w:val="Comment Text Char"/>
    <w:basedOn w:val="DefaultParagraphFont"/>
    <w:link w:val="CommentText"/>
    <w:uiPriority w:val="99"/>
    <w:rsid w:val="00AE3908"/>
    <w:rPr>
      <w:rFonts w:ascii="Calibri" w:eastAsia="Calibri" w:hAnsi="Calibri" w:cs="Times New Roman"/>
      <w:sz w:val="20"/>
      <w:szCs w:val="20"/>
    </w:rPr>
  </w:style>
  <w:style w:type="table" w:styleId="TableGrid">
    <w:name w:val="Table Grid"/>
    <w:basedOn w:val="TableNormal"/>
    <w:uiPriority w:val="59"/>
    <w:rsid w:val="006C2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5382"/>
    <w:rPr>
      <w:color w:val="0000FF" w:themeColor="hyperlink"/>
      <w:u w:val="single"/>
    </w:rPr>
  </w:style>
  <w:style w:type="character" w:styleId="Strong">
    <w:name w:val="Strong"/>
    <w:basedOn w:val="DefaultParagraphFont"/>
    <w:uiPriority w:val="22"/>
    <w:qFormat/>
    <w:rsid w:val="0091363A"/>
    <w:rPr>
      <w:b/>
      <w:bCs/>
    </w:rPr>
  </w:style>
  <w:style w:type="paragraph" w:styleId="NormalWeb">
    <w:name w:val="Normal (Web)"/>
    <w:basedOn w:val="Normal"/>
    <w:uiPriority w:val="99"/>
    <w:unhideWhenUsed/>
    <w:rsid w:val="0091363A"/>
    <w:pPr>
      <w:spacing w:after="150" w:line="240" w:lineRule="auto"/>
    </w:pPr>
    <w:rPr>
      <w:rFonts w:eastAsia="Times New Roman"/>
      <w:szCs w:val="24"/>
      <w:lang w:eastAsia="en-GB"/>
    </w:rPr>
  </w:style>
  <w:style w:type="paragraph" w:customStyle="1" w:styleId="Caption1">
    <w:name w:val="Caption1"/>
    <w:basedOn w:val="Normal"/>
    <w:rsid w:val="0091363A"/>
    <w:pPr>
      <w:spacing w:after="150" w:line="240" w:lineRule="auto"/>
    </w:pPr>
    <w:rPr>
      <w:rFonts w:eastAsia="Times New Roman"/>
      <w:szCs w:val="24"/>
      <w:lang w:eastAsia="en-GB"/>
    </w:rPr>
  </w:style>
  <w:style w:type="character" w:customStyle="1" w:styleId="redheading1">
    <w:name w:val="redheading1"/>
    <w:basedOn w:val="DefaultParagraphFont"/>
    <w:rsid w:val="0061719B"/>
    <w:rPr>
      <w:rFonts w:ascii="Arial" w:hAnsi="Arial" w:cs="Arial" w:hint="default"/>
      <w:b/>
      <w:bCs/>
      <w:strike w:val="0"/>
      <w:dstrike w:val="0"/>
      <w:color w:val="552200"/>
      <w:sz w:val="33"/>
      <w:szCs w:val="33"/>
      <w:u w:val="none"/>
      <w:effect w:val="none"/>
    </w:rPr>
  </w:style>
  <w:style w:type="character" w:customStyle="1" w:styleId="Heading1Char">
    <w:name w:val="Heading 1 Char"/>
    <w:basedOn w:val="DefaultParagraphFont"/>
    <w:link w:val="Heading1"/>
    <w:uiPriority w:val="9"/>
    <w:rsid w:val="00DA7BEB"/>
    <w:rPr>
      <w:rFonts w:asciiTheme="majorHAnsi" w:eastAsiaTheme="majorEastAsia" w:hAnsiTheme="majorHAnsi" w:cstheme="majorBidi"/>
      <w:b/>
      <w:bCs/>
      <w:color w:val="365F91" w:themeColor="accent1" w:themeShade="BF"/>
      <w:sz w:val="28"/>
      <w:szCs w:val="28"/>
    </w:rPr>
  </w:style>
  <w:style w:type="character" w:styleId="HTMLCite">
    <w:name w:val="HTML Cite"/>
    <w:basedOn w:val="DefaultParagraphFont"/>
    <w:uiPriority w:val="99"/>
    <w:semiHidden/>
    <w:unhideWhenUsed/>
    <w:rsid w:val="00080972"/>
    <w:rPr>
      <w:i/>
      <w:iCs/>
    </w:rPr>
  </w:style>
  <w:style w:type="character" w:customStyle="1" w:styleId="apple-converted-space">
    <w:name w:val="apple-converted-space"/>
    <w:basedOn w:val="DefaultParagraphFont"/>
    <w:rsid w:val="000607C6"/>
  </w:style>
  <w:style w:type="table" w:customStyle="1" w:styleId="TableGrid1">
    <w:name w:val="Table Grid1"/>
    <w:basedOn w:val="TableNormal"/>
    <w:next w:val="TableGrid"/>
    <w:uiPriority w:val="59"/>
    <w:rsid w:val="00B10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61EA4"/>
    <w:rPr>
      <w:color w:val="800080" w:themeColor="followedHyperlink"/>
      <w:u w:val="single"/>
    </w:rPr>
  </w:style>
  <w:style w:type="character" w:customStyle="1" w:styleId="textexposedshow2">
    <w:name w:val="text_exposed_show2"/>
    <w:basedOn w:val="DefaultParagraphFont"/>
    <w:rsid w:val="009A5433"/>
    <w:rPr>
      <w:vanish/>
      <w:webHidden w:val="0"/>
      <w:specVanish w:val="0"/>
    </w:rPr>
  </w:style>
  <w:style w:type="table" w:customStyle="1" w:styleId="ListTable1Light1">
    <w:name w:val="List Table 1 Light1"/>
    <w:basedOn w:val="TableNormal"/>
    <w:uiPriority w:val="46"/>
    <w:rsid w:val="009A1E00"/>
    <w:pPr>
      <w:spacing w:after="0" w:line="240" w:lineRule="auto"/>
    </w:pPr>
    <w:rPr>
      <w:lang w:val="en-NZ"/>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21">
    <w:name w:val="Table Grid21"/>
    <w:basedOn w:val="TableNormal"/>
    <w:next w:val="TableGrid"/>
    <w:uiPriority w:val="59"/>
    <w:rsid w:val="00AE1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E1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C3EEB"/>
    <w:rPr>
      <w:b/>
      <w:bCs/>
    </w:rPr>
  </w:style>
  <w:style w:type="character" w:customStyle="1" w:styleId="CommentSubjectChar">
    <w:name w:val="Comment Subject Char"/>
    <w:basedOn w:val="CommentTextChar"/>
    <w:link w:val="CommentSubject"/>
    <w:uiPriority w:val="99"/>
    <w:semiHidden/>
    <w:rsid w:val="00AC3EEB"/>
    <w:rPr>
      <w:rFonts w:ascii="Times New Roman" w:eastAsia="Calibri" w:hAnsi="Times New Roman" w:cs="Times New Roman"/>
      <w:b/>
      <w:bCs/>
      <w:sz w:val="20"/>
      <w:szCs w:val="20"/>
    </w:rPr>
  </w:style>
  <w:style w:type="table" w:customStyle="1" w:styleId="TableGrid22">
    <w:name w:val="Table Grid22"/>
    <w:basedOn w:val="TableNormal"/>
    <w:next w:val="TableGrid"/>
    <w:uiPriority w:val="59"/>
    <w:rsid w:val="00905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B3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B3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B3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B3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B3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B3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E7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E7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45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45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345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E4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E4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E4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E4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E4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DE4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B27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6B7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0D30C6"/>
  </w:style>
  <w:style w:type="character" w:customStyle="1" w:styleId="Heading2Char">
    <w:name w:val="Heading 2 Char"/>
    <w:basedOn w:val="DefaultParagraphFont"/>
    <w:link w:val="Heading2"/>
    <w:uiPriority w:val="9"/>
    <w:semiHidden/>
    <w:rsid w:val="00B11C62"/>
    <w:rPr>
      <w:rFonts w:asciiTheme="majorHAnsi" w:eastAsiaTheme="majorEastAsia" w:hAnsiTheme="majorHAnsi" w:cstheme="majorBidi"/>
      <w:color w:val="365F91" w:themeColor="accent1" w:themeShade="BF"/>
      <w:sz w:val="26"/>
      <w:szCs w:val="26"/>
    </w:rPr>
  </w:style>
  <w:style w:type="character" w:styleId="IntenseEmphasis">
    <w:name w:val="Intense Emphasis"/>
    <w:basedOn w:val="DefaultParagraphFont"/>
    <w:uiPriority w:val="21"/>
    <w:qFormat/>
    <w:rsid w:val="00B11C62"/>
    <w:rPr>
      <w:b/>
      <w:bCs/>
      <w:i/>
      <w:iCs/>
      <w:color w:val="4F81BD" w:themeColor="accent1"/>
    </w:rPr>
  </w:style>
  <w:style w:type="paragraph" w:styleId="FootnoteText">
    <w:name w:val="footnote text"/>
    <w:basedOn w:val="Normal"/>
    <w:link w:val="FootnoteTextChar"/>
    <w:uiPriority w:val="99"/>
    <w:semiHidden/>
    <w:unhideWhenUsed/>
    <w:rsid w:val="00B36F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6FFD"/>
    <w:rPr>
      <w:rFonts w:ascii="Times New Roman" w:eastAsia="Calibri" w:hAnsi="Times New Roman" w:cs="Times New Roman"/>
      <w:sz w:val="20"/>
      <w:szCs w:val="20"/>
    </w:rPr>
  </w:style>
  <w:style w:type="character" w:styleId="FootnoteReference">
    <w:name w:val="footnote reference"/>
    <w:uiPriority w:val="99"/>
    <w:unhideWhenUsed/>
    <w:rsid w:val="00B36FFD"/>
    <w:rPr>
      <w:vertAlign w:val="superscript"/>
    </w:rPr>
  </w:style>
  <w:style w:type="table" w:customStyle="1" w:styleId="TableGrid110">
    <w:name w:val="Table Grid110"/>
    <w:basedOn w:val="TableNormal"/>
    <w:next w:val="TableGrid"/>
    <w:uiPriority w:val="59"/>
    <w:rsid w:val="00E5218F"/>
    <w:pPr>
      <w:spacing w:after="0" w:line="240" w:lineRule="auto"/>
    </w:pPr>
    <w:rPr>
      <w:rFonts w:ascii="Calibri" w:eastAsia="Times New Roman"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421B27"/>
    <w:pPr>
      <w:spacing w:after="0" w:line="240" w:lineRule="auto"/>
    </w:pPr>
    <w:rPr>
      <w:rFonts w:ascii="Gill Sans MT" w:eastAsia="Times New Roman" w:hAnsi="Gill Sans MT"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447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B61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003E66"/>
    <w:pPr>
      <w:spacing w:after="0" w:line="240" w:lineRule="auto"/>
    </w:pPr>
    <w:rPr>
      <w:rFonts w:ascii="Calibri" w:eastAsia="Times New Roman"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B61231"/>
    <w:pPr>
      <w:spacing w:after="0" w:line="240" w:lineRule="auto"/>
    </w:pPr>
    <w:rPr>
      <w:rFonts w:ascii="Calibri" w:eastAsia="Times New Roman"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43671"/>
    <w:pPr>
      <w:spacing w:after="0" w:line="240" w:lineRule="auto"/>
    </w:pPr>
    <w:rPr>
      <w:rFonts w:ascii="Times New Roman" w:eastAsia="Calibri" w:hAnsi="Times New Roman" w:cs="Times New Roman"/>
      <w:sz w:val="24"/>
    </w:rPr>
  </w:style>
  <w:style w:type="paragraph" w:styleId="DocumentMap">
    <w:name w:val="Document Map"/>
    <w:basedOn w:val="Normal"/>
    <w:link w:val="DocumentMapChar"/>
    <w:uiPriority w:val="99"/>
    <w:semiHidden/>
    <w:unhideWhenUsed/>
    <w:rsid w:val="009206D4"/>
    <w:pPr>
      <w:spacing w:after="0"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9206D4"/>
    <w:rPr>
      <w:rFonts w:ascii="Lucida Grande" w:eastAsia="Calibri" w:hAnsi="Lucida Grande" w:cs="Times New Roman"/>
      <w:sz w:val="24"/>
      <w:szCs w:val="24"/>
    </w:rPr>
  </w:style>
  <w:style w:type="paragraph" w:styleId="NoSpacing">
    <w:name w:val="No Spacing"/>
    <w:link w:val="NoSpacingChar"/>
    <w:uiPriority w:val="1"/>
    <w:qFormat/>
    <w:rsid w:val="0058093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80933"/>
    <w:rPr>
      <w:rFonts w:eastAsiaTheme="minorEastAsia"/>
      <w:lang w:val="en-US"/>
    </w:rPr>
  </w:style>
  <w:style w:type="numbering" w:customStyle="1" w:styleId="NoList1">
    <w:name w:val="No List1"/>
    <w:next w:val="NoList"/>
    <w:uiPriority w:val="99"/>
    <w:semiHidden/>
    <w:unhideWhenUsed/>
    <w:rsid w:val="001C5815"/>
  </w:style>
  <w:style w:type="table" w:customStyle="1" w:styleId="TableGrid27">
    <w:name w:val="Table Grid27"/>
    <w:basedOn w:val="TableNormal"/>
    <w:next w:val="TableGrid"/>
    <w:uiPriority w:val="39"/>
    <w:rsid w:val="001C5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1C5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11">
    <w:name w:val="List Table 1 Light11"/>
    <w:basedOn w:val="TableNormal"/>
    <w:uiPriority w:val="46"/>
    <w:rsid w:val="001C5815"/>
    <w:pPr>
      <w:spacing w:after="0" w:line="240" w:lineRule="auto"/>
    </w:pPr>
    <w:rPr>
      <w:lang w:val="en-NZ"/>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212">
    <w:name w:val="Table Grid212"/>
    <w:basedOn w:val="TableNormal"/>
    <w:next w:val="TableGrid"/>
    <w:uiPriority w:val="59"/>
    <w:rsid w:val="001C5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1C5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1C5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C5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C5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1C5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1C5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1C5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1C5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1C5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1C5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1C5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1C5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1C5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1C5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1C5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1C5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1C5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1C5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1C5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1C5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1C5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1C5815"/>
    <w:pPr>
      <w:spacing w:after="0" w:line="240" w:lineRule="auto"/>
    </w:pPr>
    <w:rPr>
      <w:rFonts w:ascii="Calibri" w:eastAsia="Times New Roman"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1C5815"/>
    <w:pPr>
      <w:spacing w:after="0" w:line="240" w:lineRule="auto"/>
    </w:pPr>
    <w:rPr>
      <w:rFonts w:ascii="Gill Sans MT" w:eastAsia="Times New Roman" w:hAnsi="Gill Sans MT"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1C5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1C5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1C5815"/>
    <w:pPr>
      <w:spacing w:after="0" w:line="240" w:lineRule="auto"/>
    </w:pPr>
    <w:rPr>
      <w:rFonts w:ascii="Calibri" w:eastAsia="Times New Roman"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1C5815"/>
    <w:pPr>
      <w:spacing w:after="0" w:line="240" w:lineRule="auto"/>
    </w:pPr>
    <w:rPr>
      <w:rFonts w:ascii="Calibri" w:eastAsia="Times New Roman"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rsid w:val="00281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59"/>
    <w:rsid w:val="00AC1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AC1D93"/>
    <w:pPr>
      <w:spacing w:after="0" w:line="240" w:lineRule="auto"/>
    </w:pPr>
    <w:rPr>
      <w:rFonts w:ascii="Calibri" w:eastAsia="Times New Roman"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7D2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59"/>
    <w:rsid w:val="00F17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
    <w:name w:val="Table Grid25111"/>
    <w:basedOn w:val="TableNormal"/>
    <w:next w:val="TableGrid"/>
    <w:uiPriority w:val="59"/>
    <w:rsid w:val="00F17DF8"/>
    <w:pPr>
      <w:spacing w:after="0" w:line="240" w:lineRule="auto"/>
    </w:pPr>
    <w:rPr>
      <w:rFonts w:ascii="Calibri" w:eastAsia="Times New Roman"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1">
    <w:name w:val="Table Grid20111"/>
    <w:basedOn w:val="TableNormal"/>
    <w:next w:val="TableGrid"/>
    <w:uiPriority w:val="59"/>
    <w:rsid w:val="00F17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5B6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CF04E2"/>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5104">
      <w:bodyDiv w:val="1"/>
      <w:marLeft w:val="0"/>
      <w:marRight w:val="0"/>
      <w:marTop w:val="0"/>
      <w:marBottom w:val="0"/>
      <w:divBdr>
        <w:top w:val="none" w:sz="0" w:space="0" w:color="auto"/>
        <w:left w:val="none" w:sz="0" w:space="0" w:color="auto"/>
        <w:bottom w:val="none" w:sz="0" w:space="0" w:color="auto"/>
        <w:right w:val="none" w:sz="0" w:space="0" w:color="auto"/>
      </w:divBdr>
    </w:div>
    <w:div w:id="11035308">
      <w:bodyDiv w:val="1"/>
      <w:marLeft w:val="0"/>
      <w:marRight w:val="0"/>
      <w:marTop w:val="0"/>
      <w:marBottom w:val="0"/>
      <w:divBdr>
        <w:top w:val="none" w:sz="0" w:space="0" w:color="auto"/>
        <w:left w:val="none" w:sz="0" w:space="0" w:color="auto"/>
        <w:bottom w:val="none" w:sz="0" w:space="0" w:color="auto"/>
        <w:right w:val="none" w:sz="0" w:space="0" w:color="auto"/>
      </w:divBdr>
    </w:div>
    <w:div w:id="52196065">
      <w:bodyDiv w:val="1"/>
      <w:marLeft w:val="0"/>
      <w:marRight w:val="0"/>
      <w:marTop w:val="0"/>
      <w:marBottom w:val="0"/>
      <w:divBdr>
        <w:top w:val="none" w:sz="0" w:space="0" w:color="auto"/>
        <w:left w:val="none" w:sz="0" w:space="0" w:color="auto"/>
        <w:bottom w:val="none" w:sz="0" w:space="0" w:color="auto"/>
        <w:right w:val="none" w:sz="0" w:space="0" w:color="auto"/>
      </w:divBdr>
      <w:divsChild>
        <w:div w:id="1309019017">
          <w:marLeft w:val="0"/>
          <w:marRight w:val="0"/>
          <w:marTop w:val="0"/>
          <w:marBottom w:val="0"/>
          <w:divBdr>
            <w:top w:val="none" w:sz="0" w:space="0" w:color="auto"/>
            <w:left w:val="none" w:sz="0" w:space="0" w:color="auto"/>
            <w:bottom w:val="none" w:sz="0" w:space="0" w:color="auto"/>
            <w:right w:val="none" w:sz="0" w:space="0" w:color="auto"/>
          </w:divBdr>
          <w:divsChild>
            <w:div w:id="1409155648">
              <w:marLeft w:val="0"/>
              <w:marRight w:val="0"/>
              <w:marTop w:val="0"/>
              <w:marBottom w:val="0"/>
              <w:divBdr>
                <w:top w:val="none" w:sz="0" w:space="0" w:color="auto"/>
                <w:left w:val="none" w:sz="0" w:space="0" w:color="auto"/>
                <w:bottom w:val="none" w:sz="0" w:space="0" w:color="auto"/>
                <w:right w:val="none" w:sz="0" w:space="0" w:color="auto"/>
              </w:divBdr>
              <w:divsChild>
                <w:div w:id="2123499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586387">
                      <w:marLeft w:val="0"/>
                      <w:marRight w:val="0"/>
                      <w:marTop w:val="0"/>
                      <w:marBottom w:val="0"/>
                      <w:divBdr>
                        <w:top w:val="none" w:sz="0" w:space="0" w:color="auto"/>
                        <w:left w:val="none" w:sz="0" w:space="0" w:color="auto"/>
                        <w:bottom w:val="none" w:sz="0" w:space="0" w:color="auto"/>
                        <w:right w:val="none" w:sz="0" w:space="0" w:color="auto"/>
                      </w:divBdr>
                      <w:divsChild>
                        <w:div w:id="1518814440">
                          <w:marLeft w:val="0"/>
                          <w:marRight w:val="0"/>
                          <w:marTop w:val="0"/>
                          <w:marBottom w:val="0"/>
                          <w:divBdr>
                            <w:top w:val="none" w:sz="0" w:space="0" w:color="auto"/>
                            <w:left w:val="none" w:sz="0" w:space="0" w:color="auto"/>
                            <w:bottom w:val="none" w:sz="0" w:space="0" w:color="auto"/>
                            <w:right w:val="none" w:sz="0" w:space="0" w:color="auto"/>
                          </w:divBdr>
                          <w:divsChild>
                            <w:div w:id="787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33950">
      <w:bodyDiv w:val="1"/>
      <w:marLeft w:val="0"/>
      <w:marRight w:val="0"/>
      <w:marTop w:val="0"/>
      <w:marBottom w:val="0"/>
      <w:divBdr>
        <w:top w:val="none" w:sz="0" w:space="0" w:color="auto"/>
        <w:left w:val="none" w:sz="0" w:space="0" w:color="auto"/>
        <w:bottom w:val="none" w:sz="0" w:space="0" w:color="auto"/>
        <w:right w:val="none" w:sz="0" w:space="0" w:color="auto"/>
      </w:divBdr>
    </w:div>
    <w:div w:id="66653509">
      <w:bodyDiv w:val="1"/>
      <w:marLeft w:val="0"/>
      <w:marRight w:val="0"/>
      <w:marTop w:val="0"/>
      <w:marBottom w:val="0"/>
      <w:divBdr>
        <w:top w:val="none" w:sz="0" w:space="0" w:color="auto"/>
        <w:left w:val="none" w:sz="0" w:space="0" w:color="auto"/>
        <w:bottom w:val="none" w:sz="0" w:space="0" w:color="auto"/>
        <w:right w:val="none" w:sz="0" w:space="0" w:color="auto"/>
      </w:divBdr>
    </w:div>
    <w:div w:id="85393646">
      <w:bodyDiv w:val="1"/>
      <w:marLeft w:val="0"/>
      <w:marRight w:val="0"/>
      <w:marTop w:val="0"/>
      <w:marBottom w:val="0"/>
      <w:divBdr>
        <w:top w:val="none" w:sz="0" w:space="0" w:color="auto"/>
        <w:left w:val="none" w:sz="0" w:space="0" w:color="auto"/>
        <w:bottom w:val="none" w:sz="0" w:space="0" w:color="auto"/>
        <w:right w:val="none" w:sz="0" w:space="0" w:color="auto"/>
      </w:divBdr>
      <w:divsChild>
        <w:div w:id="1155874994">
          <w:marLeft w:val="0"/>
          <w:marRight w:val="0"/>
          <w:marTop w:val="0"/>
          <w:marBottom w:val="0"/>
          <w:divBdr>
            <w:top w:val="none" w:sz="0" w:space="0" w:color="auto"/>
            <w:left w:val="none" w:sz="0" w:space="0" w:color="auto"/>
            <w:bottom w:val="none" w:sz="0" w:space="0" w:color="auto"/>
            <w:right w:val="none" w:sz="0" w:space="0" w:color="auto"/>
          </w:divBdr>
        </w:div>
      </w:divsChild>
    </w:div>
    <w:div w:id="162473080">
      <w:bodyDiv w:val="1"/>
      <w:marLeft w:val="0"/>
      <w:marRight w:val="0"/>
      <w:marTop w:val="0"/>
      <w:marBottom w:val="0"/>
      <w:divBdr>
        <w:top w:val="none" w:sz="0" w:space="0" w:color="auto"/>
        <w:left w:val="none" w:sz="0" w:space="0" w:color="auto"/>
        <w:bottom w:val="none" w:sz="0" w:space="0" w:color="auto"/>
        <w:right w:val="none" w:sz="0" w:space="0" w:color="auto"/>
      </w:divBdr>
    </w:div>
    <w:div w:id="195580634">
      <w:bodyDiv w:val="1"/>
      <w:marLeft w:val="0"/>
      <w:marRight w:val="0"/>
      <w:marTop w:val="0"/>
      <w:marBottom w:val="0"/>
      <w:divBdr>
        <w:top w:val="none" w:sz="0" w:space="0" w:color="auto"/>
        <w:left w:val="none" w:sz="0" w:space="0" w:color="auto"/>
        <w:bottom w:val="none" w:sz="0" w:space="0" w:color="auto"/>
        <w:right w:val="none" w:sz="0" w:space="0" w:color="auto"/>
      </w:divBdr>
    </w:div>
    <w:div w:id="211694735">
      <w:bodyDiv w:val="1"/>
      <w:marLeft w:val="0"/>
      <w:marRight w:val="0"/>
      <w:marTop w:val="0"/>
      <w:marBottom w:val="0"/>
      <w:divBdr>
        <w:top w:val="none" w:sz="0" w:space="0" w:color="auto"/>
        <w:left w:val="none" w:sz="0" w:space="0" w:color="auto"/>
        <w:bottom w:val="none" w:sz="0" w:space="0" w:color="auto"/>
        <w:right w:val="none" w:sz="0" w:space="0" w:color="auto"/>
      </w:divBdr>
    </w:div>
    <w:div w:id="218246984">
      <w:bodyDiv w:val="1"/>
      <w:marLeft w:val="0"/>
      <w:marRight w:val="0"/>
      <w:marTop w:val="0"/>
      <w:marBottom w:val="0"/>
      <w:divBdr>
        <w:top w:val="none" w:sz="0" w:space="0" w:color="auto"/>
        <w:left w:val="none" w:sz="0" w:space="0" w:color="auto"/>
        <w:bottom w:val="none" w:sz="0" w:space="0" w:color="auto"/>
        <w:right w:val="none" w:sz="0" w:space="0" w:color="auto"/>
      </w:divBdr>
    </w:div>
    <w:div w:id="339047496">
      <w:bodyDiv w:val="1"/>
      <w:marLeft w:val="0"/>
      <w:marRight w:val="0"/>
      <w:marTop w:val="0"/>
      <w:marBottom w:val="0"/>
      <w:divBdr>
        <w:top w:val="none" w:sz="0" w:space="0" w:color="auto"/>
        <w:left w:val="none" w:sz="0" w:space="0" w:color="auto"/>
        <w:bottom w:val="none" w:sz="0" w:space="0" w:color="auto"/>
        <w:right w:val="none" w:sz="0" w:space="0" w:color="auto"/>
      </w:divBdr>
      <w:divsChild>
        <w:div w:id="1054348957">
          <w:marLeft w:val="0"/>
          <w:marRight w:val="0"/>
          <w:marTop w:val="0"/>
          <w:marBottom w:val="0"/>
          <w:divBdr>
            <w:top w:val="none" w:sz="0" w:space="0" w:color="auto"/>
            <w:left w:val="none" w:sz="0" w:space="0" w:color="auto"/>
            <w:bottom w:val="none" w:sz="0" w:space="0" w:color="auto"/>
            <w:right w:val="none" w:sz="0" w:space="0" w:color="auto"/>
          </w:divBdr>
          <w:divsChild>
            <w:div w:id="1720475026">
              <w:marLeft w:val="0"/>
              <w:marRight w:val="0"/>
              <w:marTop w:val="0"/>
              <w:marBottom w:val="0"/>
              <w:divBdr>
                <w:top w:val="none" w:sz="0" w:space="0" w:color="auto"/>
                <w:left w:val="none" w:sz="0" w:space="0" w:color="auto"/>
                <w:bottom w:val="none" w:sz="0" w:space="0" w:color="auto"/>
                <w:right w:val="none" w:sz="0" w:space="0" w:color="auto"/>
              </w:divBdr>
            </w:div>
            <w:div w:id="1841040754">
              <w:marLeft w:val="0"/>
              <w:marRight w:val="0"/>
              <w:marTop w:val="0"/>
              <w:marBottom w:val="0"/>
              <w:divBdr>
                <w:top w:val="none" w:sz="0" w:space="0" w:color="auto"/>
                <w:left w:val="none" w:sz="0" w:space="0" w:color="auto"/>
                <w:bottom w:val="none" w:sz="0" w:space="0" w:color="auto"/>
                <w:right w:val="none" w:sz="0" w:space="0" w:color="auto"/>
              </w:divBdr>
              <w:divsChild>
                <w:div w:id="1377848138">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 w:id="358816221">
      <w:bodyDiv w:val="1"/>
      <w:marLeft w:val="0"/>
      <w:marRight w:val="0"/>
      <w:marTop w:val="0"/>
      <w:marBottom w:val="0"/>
      <w:divBdr>
        <w:top w:val="none" w:sz="0" w:space="0" w:color="auto"/>
        <w:left w:val="none" w:sz="0" w:space="0" w:color="auto"/>
        <w:bottom w:val="none" w:sz="0" w:space="0" w:color="auto"/>
        <w:right w:val="none" w:sz="0" w:space="0" w:color="auto"/>
      </w:divBdr>
    </w:div>
    <w:div w:id="383724253">
      <w:bodyDiv w:val="1"/>
      <w:marLeft w:val="0"/>
      <w:marRight w:val="0"/>
      <w:marTop w:val="0"/>
      <w:marBottom w:val="0"/>
      <w:divBdr>
        <w:top w:val="none" w:sz="0" w:space="0" w:color="auto"/>
        <w:left w:val="none" w:sz="0" w:space="0" w:color="auto"/>
        <w:bottom w:val="none" w:sz="0" w:space="0" w:color="auto"/>
        <w:right w:val="none" w:sz="0" w:space="0" w:color="auto"/>
      </w:divBdr>
    </w:div>
    <w:div w:id="441536388">
      <w:bodyDiv w:val="1"/>
      <w:marLeft w:val="0"/>
      <w:marRight w:val="0"/>
      <w:marTop w:val="0"/>
      <w:marBottom w:val="0"/>
      <w:divBdr>
        <w:top w:val="none" w:sz="0" w:space="0" w:color="auto"/>
        <w:left w:val="none" w:sz="0" w:space="0" w:color="auto"/>
        <w:bottom w:val="none" w:sz="0" w:space="0" w:color="auto"/>
        <w:right w:val="none" w:sz="0" w:space="0" w:color="auto"/>
      </w:divBdr>
    </w:div>
    <w:div w:id="470708443">
      <w:bodyDiv w:val="1"/>
      <w:marLeft w:val="0"/>
      <w:marRight w:val="0"/>
      <w:marTop w:val="0"/>
      <w:marBottom w:val="0"/>
      <w:divBdr>
        <w:top w:val="none" w:sz="0" w:space="0" w:color="auto"/>
        <w:left w:val="none" w:sz="0" w:space="0" w:color="auto"/>
        <w:bottom w:val="none" w:sz="0" w:space="0" w:color="auto"/>
        <w:right w:val="none" w:sz="0" w:space="0" w:color="auto"/>
      </w:divBdr>
      <w:divsChild>
        <w:div w:id="468322902">
          <w:marLeft w:val="0"/>
          <w:marRight w:val="0"/>
          <w:marTop w:val="0"/>
          <w:marBottom w:val="0"/>
          <w:divBdr>
            <w:top w:val="none" w:sz="0" w:space="0" w:color="auto"/>
            <w:left w:val="none" w:sz="0" w:space="0" w:color="auto"/>
            <w:bottom w:val="none" w:sz="0" w:space="0" w:color="auto"/>
            <w:right w:val="none" w:sz="0" w:space="0" w:color="auto"/>
          </w:divBdr>
          <w:divsChild>
            <w:div w:id="1064135024">
              <w:marLeft w:val="0"/>
              <w:marRight w:val="0"/>
              <w:marTop w:val="0"/>
              <w:marBottom w:val="0"/>
              <w:divBdr>
                <w:top w:val="none" w:sz="0" w:space="0" w:color="auto"/>
                <w:left w:val="none" w:sz="0" w:space="0" w:color="auto"/>
                <w:bottom w:val="none" w:sz="0" w:space="0" w:color="auto"/>
                <w:right w:val="none" w:sz="0" w:space="0" w:color="auto"/>
              </w:divBdr>
              <w:divsChild>
                <w:div w:id="1060979858">
                  <w:marLeft w:val="0"/>
                  <w:marRight w:val="0"/>
                  <w:marTop w:val="0"/>
                  <w:marBottom w:val="0"/>
                  <w:divBdr>
                    <w:top w:val="none" w:sz="0" w:space="0" w:color="auto"/>
                    <w:left w:val="none" w:sz="0" w:space="0" w:color="auto"/>
                    <w:bottom w:val="none" w:sz="0" w:space="0" w:color="auto"/>
                    <w:right w:val="none" w:sz="0" w:space="0" w:color="auto"/>
                  </w:divBdr>
                  <w:divsChild>
                    <w:div w:id="1502354899">
                      <w:marLeft w:val="0"/>
                      <w:marRight w:val="0"/>
                      <w:marTop w:val="0"/>
                      <w:marBottom w:val="0"/>
                      <w:divBdr>
                        <w:top w:val="none" w:sz="0" w:space="0" w:color="auto"/>
                        <w:left w:val="none" w:sz="0" w:space="0" w:color="auto"/>
                        <w:bottom w:val="none" w:sz="0" w:space="0" w:color="auto"/>
                        <w:right w:val="none" w:sz="0" w:space="0" w:color="auto"/>
                      </w:divBdr>
                      <w:divsChild>
                        <w:div w:id="1389186272">
                          <w:marLeft w:val="0"/>
                          <w:marRight w:val="0"/>
                          <w:marTop w:val="0"/>
                          <w:marBottom w:val="0"/>
                          <w:divBdr>
                            <w:top w:val="none" w:sz="0" w:space="0" w:color="auto"/>
                            <w:left w:val="none" w:sz="0" w:space="0" w:color="auto"/>
                            <w:bottom w:val="none" w:sz="0" w:space="0" w:color="auto"/>
                            <w:right w:val="none" w:sz="0" w:space="0" w:color="auto"/>
                          </w:divBdr>
                          <w:divsChild>
                            <w:div w:id="560944893">
                              <w:marLeft w:val="0"/>
                              <w:marRight w:val="0"/>
                              <w:marTop w:val="0"/>
                              <w:marBottom w:val="0"/>
                              <w:divBdr>
                                <w:top w:val="none" w:sz="0" w:space="0" w:color="auto"/>
                                <w:left w:val="none" w:sz="0" w:space="0" w:color="auto"/>
                                <w:bottom w:val="none" w:sz="0" w:space="0" w:color="auto"/>
                                <w:right w:val="none" w:sz="0" w:space="0" w:color="auto"/>
                              </w:divBdr>
                              <w:divsChild>
                                <w:div w:id="567500297">
                                  <w:marLeft w:val="0"/>
                                  <w:marRight w:val="0"/>
                                  <w:marTop w:val="0"/>
                                  <w:marBottom w:val="0"/>
                                  <w:divBdr>
                                    <w:top w:val="none" w:sz="0" w:space="0" w:color="auto"/>
                                    <w:left w:val="none" w:sz="0" w:space="0" w:color="auto"/>
                                    <w:bottom w:val="none" w:sz="0" w:space="0" w:color="auto"/>
                                    <w:right w:val="none" w:sz="0" w:space="0" w:color="auto"/>
                                  </w:divBdr>
                                  <w:divsChild>
                                    <w:div w:id="2125034668">
                                      <w:marLeft w:val="0"/>
                                      <w:marRight w:val="0"/>
                                      <w:marTop w:val="0"/>
                                      <w:marBottom w:val="0"/>
                                      <w:divBdr>
                                        <w:top w:val="none" w:sz="0" w:space="0" w:color="auto"/>
                                        <w:left w:val="none" w:sz="0" w:space="0" w:color="auto"/>
                                        <w:bottom w:val="none" w:sz="0" w:space="0" w:color="auto"/>
                                        <w:right w:val="none" w:sz="0" w:space="0" w:color="auto"/>
                                      </w:divBdr>
                                      <w:divsChild>
                                        <w:div w:id="599224174">
                                          <w:marLeft w:val="0"/>
                                          <w:marRight w:val="0"/>
                                          <w:marTop w:val="0"/>
                                          <w:marBottom w:val="0"/>
                                          <w:divBdr>
                                            <w:top w:val="none" w:sz="0" w:space="0" w:color="auto"/>
                                            <w:left w:val="none" w:sz="0" w:space="0" w:color="auto"/>
                                            <w:bottom w:val="none" w:sz="0" w:space="0" w:color="auto"/>
                                            <w:right w:val="none" w:sz="0" w:space="0" w:color="auto"/>
                                          </w:divBdr>
                                          <w:divsChild>
                                            <w:div w:id="1580821325">
                                              <w:marLeft w:val="0"/>
                                              <w:marRight w:val="0"/>
                                              <w:marTop w:val="0"/>
                                              <w:marBottom w:val="0"/>
                                              <w:divBdr>
                                                <w:top w:val="none" w:sz="0" w:space="0" w:color="auto"/>
                                                <w:left w:val="none" w:sz="0" w:space="0" w:color="auto"/>
                                                <w:bottom w:val="none" w:sz="0" w:space="0" w:color="auto"/>
                                                <w:right w:val="none" w:sz="0" w:space="0" w:color="auto"/>
                                              </w:divBdr>
                                              <w:divsChild>
                                                <w:div w:id="406418743">
                                                  <w:marLeft w:val="75"/>
                                                  <w:marRight w:val="75"/>
                                                  <w:marTop w:val="0"/>
                                                  <w:marBottom w:val="0"/>
                                                  <w:divBdr>
                                                    <w:top w:val="none" w:sz="0" w:space="0" w:color="auto"/>
                                                    <w:left w:val="none" w:sz="0" w:space="0" w:color="auto"/>
                                                    <w:bottom w:val="none" w:sz="0" w:space="0" w:color="auto"/>
                                                    <w:right w:val="none" w:sz="0" w:space="0" w:color="auto"/>
                                                  </w:divBdr>
                                                  <w:divsChild>
                                                    <w:div w:id="2028632450">
                                                      <w:marLeft w:val="0"/>
                                                      <w:marRight w:val="0"/>
                                                      <w:marTop w:val="0"/>
                                                      <w:marBottom w:val="0"/>
                                                      <w:divBdr>
                                                        <w:top w:val="none" w:sz="0" w:space="0" w:color="auto"/>
                                                        <w:left w:val="none" w:sz="0" w:space="0" w:color="auto"/>
                                                        <w:bottom w:val="none" w:sz="0" w:space="0" w:color="auto"/>
                                                        <w:right w:val="none" w:sz="0" w:space="0" w:color="auto"/>
                                                      </w:divBdr>
                                                      <w:divsChild>
                                                        <w:div w:id="482627162">
                                                          <w:marLeft w:val="0"/>
                                                          <w:marRight w:val="0"/>
                                                          <w:marTop w:val="0"/>
                                                          <w:marBottom w:val="0"/>
                                                          <w:divBdr>
                                                            <w:top w:val="none" w:sz="0" w:space="0" w:color="auto"/>
                                                            <w:left w:val="none" w:sz="0" w:space="0" w:color="auto"/>
                                                            <w:bottom w:val="none" w:sz="0" w:space="0" w:color="auto"/>
                                                            <w:right w:val="none" w:sz="0" w:space="0" w:color="auto"/>
                                                          </w:divBdr>
                                                          <w:divsChild>
                                                            <w:div w:id="1835611337">
                                                              <w:marLeft w:val="0"/>
                                                              <w:marRight w:val="0"/>
                                                              <w:marTop w:val="0"/>
                                                              <w:marBottom w:val="0"/>
                                                              <w:divBdr>
                                                                <w:top w:val="none" w:sz="0" w:space="0" w:color="auto"/>
                                                                <w:left w:val="none" w:sz="0" w:space="0" w:color="auto"/>
                                                                <w:bottom w:val="none" w:sz="0" w:space="0" w:color="auto"/>
                                                                <w:right w:val="none" w:sz="0" w:space="0" w:color="auto"/>
                                                              </w:divBdr>
                                                              <w:divsChild>
                                                                <w:div w:id="1833328142">
                                                                  <w:marLeft w:val="0"/>
                                                                  <w:marRight w:val="0"/>
                                                                  <w:marTop w:val="0"/>
                                                                  <w:marBottom w:val="0"/>
                                                                  <w:divBdr>
                                                                    <w:top w:val="none" w:sz="0" w:space="0" w:color="auto"/>
                                                                    <w:left w:val="none" w:sz="0" w:space="0" w:color="auto"/>
                                                                    <w:bottom w:val="none" w:sz="0" w:space="0" w:color="auto"/>
                                                                    <w:right w:val="none" w:sz="0" w:space="0" w:color="auto"/>
                                                                  </w:divBdr>
                                                                  <w:divsChild>
                                                                    <w:div w:id="493570456">
                                                                      <w:marLeft w:val="0"/>
                                                                      <w:marRight w:val="0"/>
                                                                      <w:marTop w:val="0"/>
                                                                      <w:marBottom w:val="0"/>
                                                                      <w:divBdr>
                                                                        <w:top w:val="none" w:sz="0" w:space="0" w:color="auto"/>
                                                                        <w:left w:val="none" w:sz="0" w:space="0" w:color="auto"/>
                                                                        <w:bottom w:val="none" w:sz="0" w:space="0" w:color="auto"/>
                                                                        <w:right w:val="none" w:sz="0" w:space="0" w:color="auto"/>
                                                                      </w:divBdr>
                                                                      <w:divsChild>
                                                                        <w:div w:id="148520435">
                                                                          <w:marLeft w:val="150"/>
                                                                          <w:marRight w:val="0"/>
                                                                          <w:marTop w:val="0"/>
                                                                          <w:marBottom w:val="150"/>
                                                                          <w:divBdr>
                                                                            <w:top w:val="single" w:sz="6" w:space="4" w:color="CCCCCC"/>
                                                                            <w:left w:val="single" w:sz="6" w:space="4" w:color="CCCCCC"/>
                                                                            <w:bottom w:val="single" w:sz="6" w:space="4" w:color="CCCCCC"/>
                                                                            <w:right w:val="single" w:sz="6" w:space="4" w:color="CCCCCC"/>
                                                                          </w:divBdr>
                                                                        </w:div>
                                                                        <w:div w:id="328993296">
                                                                          <w:marLeft w:val="150"/>
                                                                          <w:marRight w:val="0"/>
                                                                          <w:marTop w:val="0"/>
                                                                          <w:marBottom w:val="150"/>
                                                                          <w:divBdr>
                                                                            <w:top w:val="single" w:sz="6" w:space="4" w:color="CCCCCC"/>
                                                                            <w:left w:val="single" w:sz="6" w:space="4" w:color="CCCCCC"/>
                                                                            <w:bottom w:val="single" w:sz="6" w:space="4" w:color="CCCCCC"/>
                                                                            <w:right w:val="single" w:sz="6" w:space="4" w:color="CCCCCC"/>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704606">
      <w:bodyDiv w:val="1"/>
      <w:marLeft w:val="0"/>
      <w:marRight w:val="0"/>
      <w:marTop w:val="0"/>
      <w:marBottom w:val="0"/>
      <w:divBdr>
        <w:top w:val="none" w:sz="0" w:space="0" w:color="auto"/>
        <w:left w:val="none" w:sz="0" w:space="0" w:color="auto"/>
        <w:bottom w:val="none" w:sz="0" w:space="0" w:color="auto"/>
        <w:right w:val="none" w:sz="0" w:space="0" w:color="auto"/>
      </w:divBdr>
    </w:div>
    <w:div w:id="500464827">
      <w:bodyDiv w:val="1"/>
      <w:marLeft w:val="0"/>
      <w:marRight w:val="0"/>
      <w:marTop w:val="0"/>
      <w:marBottom w:val="0"/>
      <w:divBdr>
        <w:top w:val="none" w:sz="0" w:space="0" w:color="auto"/>
        <w:left w:val="none" w:sz="0" w:space="0" w:color="auto"/>
        <w:bottom w:val="none" w:sz="0" w:space="0" w:color="auto"/>
        <w:right w:val="none" w:sz="0" w:space="0" w:color="auto"/>
      </w:divBdr>
      <w:divsChild>
        <w:div w:id="972103159">
          <w:marLeft w:val="0"/>
          <w:marRight w:val="0"/>
          <w:marTop w:val="0"/>
          <w:marBottom w:val="0"/>
          <w:divBdr>
            <w:top w:val="none" w:sz="0" w:space="0" w:color="auto"/>
            <w:left w:val="none" w:sz="0" w:space="0" w:color="auto"/>
            <w:bottom w:val="none" w:sz="0" w:space="0" w:color="auto"/>
            <w:right w:val="none" w:sz="0" w:space="0" w:color="auto"/>
          </w:divBdr>
          <w:divsChild>
            <w:div w:id="1560022208">
              <w:marLeft w:val="0"/>
              <w:marRight w:val="0"/>
              <w:marTop w:val="0"/>
              <w:marBottom w:val="0"/>
              <w:divBdr>
                <w:top w:val="none" w:sz="0" w:space="0" w:color="auto"/>
                <w:left w:val="none" w:sz="0" w:space="0" w:color="auto"/>
                <w:bottom w:val="none" w:sz="0" w:space="0" w:color="auto"/>
                <w:right w:val="none" w:sz="0" w:space="0" w:color="auto"/>
              </w:divBdr>
              <w:divsChild>
                <w:div w:id="1369992892">
                  <w:marLeft w:val="0"/>
                  <w:marRight w:val="0"/>
                  <w:marTop w:val="0"/>
                  <w:marBottom w:val="0"/>
                  <w:divBdr>
                    <w:top w:val="none" w:sz="0" w:space="0" w:color="auto"/>
                    <w:left w:val="none" w:sz="0" w:space="0" w:color="auto"/>
                    <w:bottom w:val="none" w:sz="0" w:space="0" w:color="auto"/>
                    <w:right w:val="none" w:sz="0" w:space="0" w:color="auto"/>
                  </w:divBdr>
                  <w:divsChild>
                    <w:div w:id="1423448972">
                      <w:marLeft w:val="0"/>
                      <w:marRight w:val="0"/>
                      <w:marTop w:val="0"/>
                      <w:marBottom w:val="0"/>
                      <w:divBdr>
                        <w:top w:val="none" w:sz="0" w:space="0" w:color="auto"/>
                        <w:left w:val="none" w:sz="0" w:space="0" w:color="auto"/>
                        <w:bottom w:val="none" w:sz="0" w:space="0" w:color="auto"/>
                        <w:right w:val="none" w:sz="0" w:space="0" w:color="auto"/>
                      </w:divBdr>
                      <w:divsChild>
                        <w:div w:id="572815407">
                          <w:marLeft w:val="0"/>
                          <w:marRight w:val="0"/>
                          <w:marTop w:val="0"/>
                          <w:marBottom w:val="0"/>
                          <w:divBdr>
                            <w:top w:val="none" w:sz="0" w:space="0" w:color="auto"/>
                            <w:left w:val="none" w:sz="0" w:space="0" w:color="auto"/>
                            <w:bottom w:val="none" w:sz="0" w:space="0" w:color="auto"/>
                            <w:right w:val="none" w:sz="0" w:space="0" w:color="auto"/>
                          </w:divBdr>
                          <w:divsChild>
                            <w:div w:id="1293095564">
                              <w:marLeft w:val="0"/>
                              <w:marRight w:val="0"/>
                              <w:marTop w:val="0"/>
                              <w:marBottom w:val="0"/>
                              <w:divBdr>
                                <w:top w:val="none" w:sz="0" w:space="0" w:color="auto"/>
                                <w:left w:val="none" w:sz="0" w:space="0" w:color="auto"/>
                                <w:bottom w:val="none" w:sz="0" w:space="0" w:color="auto"/>
                                <w:right w:val="none" w:sz="0" w:space="0" w:color="auto"/>
                              </w:divBdr>
                              <w:divsChild>
                                <w:div w:id="1648628189">
                                  <w:marLeft w:val="150"/>
                                  <w:marRight w:val="0"/>
                                  <w:marTop w:val="0"/>
                                  <w:marBottom w:val="0"/>
                                  <w:divBdr>
                                    <w:top w:val="none" w:sz="0" w:space="0" w:color="auto"/>
                                    <w:left w:val="none" w:sz="0" w:space="0" w:color="auto"/>
                                    <w:bottom w:val="none" w:sz="0" w:space="0" w:color="auto"/>
                                    <w:right w:val="none" w:sz="0" w:space="0" w:color="auto"/>
                                  </w:divBdr>
                                  <w:divsChild>
                                    <w:div w:id="520290436">
                                      <w:marLeft w:val="0"/>
                                      <w:marRight w:val="0"/>
                                      <w:marTop w:val="0"/>
                                      <w:marBottom w:val="0"/>
                                      <w:divBdr>
                                        <w:top w:val="none" w:sz="0" w:space="0" w:color="auto"/>
                                        <w:left w:val="none" w:sz="0" w:space="0" w:color="auto"/>
                                        <w:bottom w:val="none" w:sz="0" w:space="0" w:color="auto"/>
                                        <w:right w:val="none" w:sz="0" w:space="0" w:color="auto"/>
                                      </w:divBdr>
                                      <w:divsChild>
                                        <w:div w:id="1614558613">
                                          <w:marLeft w:val="0"/>
                                          <w:marRight w:val="0"/>
                                          <w:marTop w:val="0"/>
                                          <w:marBottom w:val="0"/>
                                          <w:divBdr>
                                            <w:top w:val="none" w:sz="0" w:space="0" w:color="auto"/>
                                            <w:left w:val="none" w:sz="0" w:space="0" w:color="auto"/>
                                            <w:bottom w:val="none" w:sz="0" w:space="0" w:color="auto"/>
                                            <w:right w:val="none" w:sz="0" w:space="0" w:color="auto"/>
                                          </w:divBdr>
                                          <w:divsChild>
                                            <w:div w:id="504519482">
                                              <w:marLeft w:val="0"/>
                                              <w:marRight w:val="0"/>
                                              <w:marTop w:val="0"/>
                                              <w:marBottom w:val="0"/>
                                              <w:divBdr>
                                                <w:top w:val="none" w:sz="0" w:space="0" w:color="auto"/>
                                                <w:left w:val="none" w:sz="0" w:space="0" w:color="auto"/>
                                                <w:bottom w:val="none" w:sz="0" w:space="0" w:color="auto"/>
                                                <w:right w:val="none" w:sz="0" w:space="0" w:color="auto"/>
                                              </w:divBdr>
                                              <w:divsChild>
                                                <w:div w:id="1287539873">
                                                  <w:marLeft w:val="0"/>
                                                  <w:marRight w:val="0"/>
                                                  <w:marTop w:val="0"/>
                                                  <w:marBottom w:val="0"/>
                                                  <w:divBdr>
                                                    <w:top w:val="none" w:sz="0" w:space="0" w:color="auto"/>
                                                    <w:left w:val="none" w:sz="0" w:space="0" w:color="auto"/>
                                                    <w:bottom w:val="none" w:sz="0" w:space="0" w:color="auto"/>
                                                    <w:right w:val="none" w:sz="0" w:space="0" w:color="auto"/>
                                                  </w:divBdr>
                                                  <w:divsChild>
                                                    <w:div w:id="8573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1595930">
      <w:marLeft w:val="0"/>
      <w:marRight w:val="0"/>
      <w:marTop w:val="0"/>
      <w:marBottom w:val="0"/>
      <w:divBdr>
        <w:top w:val="none" w:sz="0" w:space="0" w:color="auto"/>
        <w:left w:val="none" w:sz="0" w:space="0" w:color="auto"/>
        <w:bottom w:val="none" w:sz="0" w:space="0" w:color="auto"/>
        <w:right w:val="none" w:sz="0" w:space="0" w:color="auto"/>
      </w:divBdr>
      <w:divsChild>
        <w:div w:id="434059591">
          <w:marLeft w:val="0"/>
          <w:marRight w:val="0"/>
          <w:marTop w:val="0"/>
          <w:marBottom w:val="0"/>
          <w:divBdr>
            <w:top w:val="none" w:sz="0" w:space="0" w:color="auto"/>
            <w:left w:val="none" w:sz="0" w:space="0" w:color="auto"/>
            <w:bottom w:val="none" w:sz="0" w:space="0" w:color="auto"/>
            <w:right w:val="none" w:sz="0" w:space="0" w:color="auto"/>
          </w:divBdr>
        </w:div>
      </w:divsChild>
    </w:div>
    <w:div w:id="568350702">
      <w:bodyDiv w:val="1"/>
      <w:marLeft w:val="0"/>
      <w:marRight w:val="0"/>
      <w:marTop w:val="0"/>
      <w:marBottom w:val="0"/>
      <w:divBdr>
        <w:top w:val="none" w:sz="0" w:space="0" w:color="auto"/>
        <w:left w:val="none" w:sz="0" w:space="0" w:color="auto"/>
        <w:bottom w:val="none" w:sz="0" w:space="0" w:color="auto"/>
        <w:right w:val="none" w:sz="0" w:space="0" w:color="auto"/>
      </w:divBdr>
    </w:div>
    <w:div w:id="580990215">
      <w:bodyDiv w:val="1"/>
      <w:marLeft w:val="0"/>
      <w:marRight w:val="0"/>
      <w:marTop w:val="0"/>
      <w:marBottom w:val="0"/>
      <w:divBdr>
        <w:top w:val="none" w:sz="0" w:space="0" w:color="auto"/>
        <w:left w:val="none" w:sz="0" w:space="0" w:color="auto"/>
        <w:bottom w:val="none" w:sz="0" w:space="0" w:color="auto"/>
        <w:right w:val="none" w:sz="0" w:space="0" w:color="auto"/>
      </w:divBdr>
      <w:divsChild>
        <w:div w:id="1628506947">
          <w:marLeft w:val="0"/>
          <w:marRight w:val="0"/>
          <w:marTop w:val="0"/>
          <w:marBottom w:val="0"/>
          <w:divBdr>
            <w:top w:val="none" w:sz="0" w:space="0" w:color="auto"/>
            <w:left w:val="none" w:sz="0" w:space="0" w:color="auto"/>
            <w:bottom w:val="none" w:sz="0" w:space="0" w:color="auto"/>
            <w:right w:val="none" w:sz="0" w:space="0" w:color="auto"/>
          </w:divBdr>
        </w:div>
      </w:divsChild>
    </w:div>
    <w:div w:id="587035324">
      <w:bodyDiv w:val="1"/>
      <w:marLeft w:val="0"/>
      <w:marRight w:val="0"/>
      <w:marTop w:val="0"/>
      <w:marBottom w:val="0"/>
      <w:divBdr>
        <w:top w:val="none" w:sz="0" w:space="0" w:color="auto"/>
        <w:left w:val="none" w:sz="0" w:space="0" w:color="auto"/>
        <w:bottom w:val="none" w:sz="0" w:space="0" w:color="auto"/>
        <w:right w:val="none" w:sz="0" w:space="0" w:color="auto"/>
      </w:divBdr>
      <w:divsChild>
        <w:div w:id="1246693471">
          <w:marLeft w:val="0"/>
          <w:marRight w:val="0"/>
          <w:marTop w:val="0"/>
          <w:marBottom w:val="0"/>
          <w:divBdr>
            <w:top w:val="none" w:sz="0" w:space="0" w:color="auto"/>
            <w:left w:val="none" w:sz="0" w:space="0" w:color="auto"/>
            <w:bottom w:val="none" w:sz="0" w:space="0" w:color="auto"/>
            <w:right w:val="none" w:sz="0" w:space="0" w:color="auto"/>
          </w:divBdr>
          <w:divsChild>
            <w:div w:id="876308759">
              <w:marLeft w:val="0"/>
              <w:marRight w:val="0"/>
              <w:marTop w:val="0"/>
              <w:marBottom w:val="0"/>
              <w:divBdr>
                <w:top w:val="none" w:sz="0" w:space="0" w:color="auto"/>
                <w:left w:val="none" w:sz="0" w:space="0" w:color="auto"/>
                <w:bottom w:val="none" w:sz="0" w:space="0" w:color="auto"/>
                <w:right w:val="none" w:sz="0" w:space="0" w:color="auto"/>
              </w:divBdr>
              <w:divsChild>
                <w:div w:id="138305551">
                  <w:marLeft w:val="0"/>
                  <w:marRight w:val="0"/>
                  <w:marTop w:val="0"/>
                  <w:marBottom w:val="0"/>
                  <w:divBdr>
                    <w:top w:val="none" w:sz="0" w:space="0" w:color="auto"/>
                    <w:left w:val="none" w:sz="0" w:space="0" w:color="auto"/>
                    <w:bottom w:val="none" w:sz="0" w:space="0" w:color="auto"/>
                    <w:right w:val="none" w:sz="0" w:space="0" w:color="auto"/>
                  </w:divBdr>
                  <w:divsChild>
                    <w:div w:id="416247649">
                      <w:marLeft w:val="0"/>
                      <w:marRight w:val="0"/>
                      <w:marTop w:val="0"/>
                      <w:marBottom w:val="0"/>
                      <w:divBdr>
                        <w:top w:val="none" w:sz="0" w:space="0" w:color="auto"/>
                        <w:left w:val="none" w:sz="0" w:space="0" w:color="auto"/>
                        <w:bottom w:val="none" w:sz="0" w:space="0" w:color="auto"/>
                        <w:right w:val="none" w:sz="0" w:space="0" w:color="auto"/>
                      </w:divBdr>
                      <w:divsChild>
                        <w:div w:id="881136478">
                          <w:marLeft w:val="0"/>
                          <w:marRight w:val="0"/>
                          <w:marTop w:val="0"/>
                          <w:marBottom w:val="0"/>
                          <w:divBdr>
                            <w:top w:val="none" w:sz="0" w:space="0" w:color="auto"/>
                            <w:left w:val="none" w:sz="0" w:space="0" w:color="auto"/>
                            <w:bottom w:val="none" w:sz="0" w:space="0" w:color="auto"/>
                            <w:right w:val="none" w:sz="0" w:space="0" w:color="auto"/>
                          </w:divBdr>
                          <w:divsChild>
                            <w:div w:id="1030640730">
                              <w:marLeft w:val="0"/>
                              <w:marRight w:val="0"/>
                              <w:marTop w:val="0"/>
                              <w:marBottom w:val="0"/>
                              <w:divBdr>
                                <w:top w:val="none" w:sz="0" w:space="0" w:color="auto"/>
                                <w:left w:val="none" w:sz="0" w:space="0" w:color="auto"/>
                                <w:bottom w:val="none" w:sz="0" w:space="0" w:color="auto"/>
                                <w:right w:val="none" w:sz="0" w:space="0" w:color="auto"/>
                              </w:divBdr>
                              <w:divsChild>
                                <w:div w:id="517700298">
                                  <w:marLeft w:val="150"/>
                                  <w:marRight w:val="0"/>
                                  <w:marTop w:val="0"/>
                                  <w:marBottom w:val="0"/>
                                  <w:divBdr>
                                    <w:top w:val="none" w:sz="0" w:space="0" w:color="auto"/>
                                    <w:left w:val="none" w:sz="0" w:space="0" w:color="auto"/>
                                    <w:bottom w:val="none" w:sz="0" w:space="0" w:color="auto"/>
                                    <w:right w:val="none" w:sz="0" w:space="0" w:color="auto"/>
                                  </w:divBdr>
                                  <w:divsChild>
                                    <w:div w:id="1408382720">
                                      <w:marLeft w:val="0"/>
                                      <w:marRight w:val="0"/>
                                      <w:marTop w:val="0"/>
                                      <w:marBottom w:val="0"/>
                                      <w:divBdr>
                                        <w:top w:val="none" w:sz="0" w:space="0" w:color="auto"/>
                                        <w:left w:val="none" w:sz="0" w:space="0" w:color="auto"/>
                                        <w:bottom w:val="none" w:sz="0" w:space="0" w:color="auto"/>
                                        <w:right w:val="none" w:sz="0" w:space="0" w:color="auto"/>
                                      </w:divBdr>
                                      <w:divsChild>
                                        <w:div w:id="452287877">
                                          <w:marLeft w:val="0"/>
                                          <w:marRight w:val="0"/>
                                          <w:marTop w:val="0"/>
                                          <w:marBottom w:val="0"/>
                                          <w:divBdr>
                                            <w:top w:val="none" w:sz="0" w:space="0" w:color="auto"/>
                                            <w:left w:val="none" w:sz="0" w:space="0" w:color="auto"/>
                                            <w:bottom w:val="none" w:sz="0" w:space="0" w:color="auto"/>
                                            <w:right w:val="none" w:sz="0" w:space="0" w:color="auto"/>
                                          </w:divBdr>
                                          <w:divsChild>
                                            <w:div w:id="432747588">
                                              <w:marLeft w:val="0"/>
                                              <w:marRight w:val="0"/>
                                              <w:marTop w:val="0"/>
                                              <w:marBottom w:val="0"/>
                                              <w:divBdr>
                                                <w:top w:val="none" w:sz="0" w:space="0" w:color="auto"/>
                                                <w:left w:val="none" w:sz="0" w:space="0" w:color="auto"/>
                                                <w:bottom w:val="none" w:sz="0" w:space="0" w:color="auto"/>
                                                <w:right w:val="none" w:sz="0" w:space="0" w:color="auto"/>
                                              </w:divBdr>
                                              <w:divsChild>
                                                <w:div w:id="1076318924">
                                                  <w:marLeft w:val="0"/>
                                                  <w:marRight w:val="0"/>
                                                  <w:marTop w:val="0"/>
                                                  <w:marBottom w:val="0"/>
                                                  <w:divBdr>
                                                    <w:top w:val="none" w:sz="0" w:space="0" w:color="auto"/>
                                                    <w:left w:val="none" w:sz="0" w:space="0" w:color="auto"/>
                                                    <w:bottom w:val="none" w:sz="0" w:space="0" w:color="auto"/>
                                                    <w:right w:val="none" w:sz="0" w:space="0" w:color="auto"/>
                                                  </w:divBdr>
                                                  <w:divsChild>
                                                    <w:div w:id="8267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1114264">
      <w:bodyDiv w:val="1"/>
      <w:marLeft w:val="0"/>
      <w:marRight w:val="0"/>
      <w:marTop w:val="0"/>
      <w:marBottom w:val="0"/>
      <w:divBdr>
        <w:top w:val="none" w:sz="0" w:space="0" w:color="auto"/>
        <w:left w:val="none" w:sz="0" w:space="0" w:color="auto"/>
        <w:bottom w:val="none" w:sz="0" w:space="0" w:color="auto"/>
        <w:right w:val="none" w:sz="0" w:space="0" w:color="auto"/>
      </w:divBdr>
    </w:div>
    <w:div w:id="647980965">
      <w:bodyDiv w:val="1"/>
      <w:marLeft w:val="0"/>
      <w:marRight w:val="0"/>
      <w:marTop w:val="0"/>
      <w:marBottom w:val="0"/>
      <w:divBdr>
        <w:top w:val="none" w:sz="0" w:space="0" w:color="auto"/>
        <w:left w:val="none" w:sz="0" w:space="0" w:color="auto"/>
        <w:bottom w:val="none" w:sz="0" w:space="0" w:color="auto"/>
        <w:right w:val="none" w:sz="0" w:space="0" w:color="auto"/>
      </w:divBdr>
    </w:div>
    <w:div w:id="653029624">
      <w:bodyDiv w:val="1"/>
      <w:marLeft w:val="0"/>
      <w:marRight w:val="0"/>
      <w:marTop w:val="0"/>
      <w:marBottom w:val="0"/>
      <w:divBdr>
        <w:top w:val="none" w:sz="0" w:space="0" w:color="auto"/>
        <w:left w:val="none" w:sz="0" w:space="0" w:color="auto"/>
        <w:bottom w:val="none" w:sz="0" w:space="0" w:color="auto"/>
        <w:right w:val="none" w:sz="0" w:space="0" w:color="auto"/>
      </w:divBdr>
    </w:div>
    <w:div w:id="666708880">
      <w:bodyDiv w:val="1"/>
      <w:marLeft w:val="0"/>
      <w:marRight w:val="0"/>
      <w:marTop w:val="0"/>
      <w:marBottom w:val="0"/>
      <w:divBdr>
        <w:top w:val="none" w:sz="0" w:space="0" w:color="auto"/>
        <w:left w:val="none" w:sz="0" w:space="0" w:color="auto"/>
        <w:bottom w:val="none" w:sz="0" w:space="0" w:color="auto"/>
        <w:right w:val="none" w:sz="0" w:space="0" w:color="auto"/>
      </w:divBdr>
      <w:divsChild>
        <w:div w:id="126898453">
          <w:marLeft w:val="0"/>
          <w:marRight w:val="0"/>
          <w:marTop w:val="0"/>
          <w:marBottom w:val="0"/>
          <w:divBdr>
            <w:top w:val="none" w:sz="0" w:space="0" w:color="auto"/>
            <w:left w:val="none" w:sz="0" w:space="0" w:color="auto"/>
            <w:bottom w:val="none" w:sz="0" w:space="0" w:color="auto"/>
            <w:right w:val="none" w:sz="0" w:space="0" w:color="auto"/>
          </w:divBdr>
        </w:div>
      </w:divsChild>
    </w:div>
    <w:div w:id="667640258">
      <w:bodyDiv w:val="1"/>
      <w:marLeft w:val="0"/>
      <w:marRight w:val="0"/>
      <w:marTop w:val="0"/>
      <w:marBottom w:val="0"/>
      <w:divBdr>
        <w:top w:val="none" w:sz="0" w:space="0" w:color="auto"/>
        <w:left w:val="none" w:sz="0" w:space="0" w:color="auto"/>
        <w:bottom w:val="none" w:sz="0" w:space="0" w:color="auto"/>
        <w:right w:val="none" w:sz="0" w:space="0" w:color="auto"/>
      </w:divBdr>
    </w:div>
    <w:div w:id="681517023">
      <w:bodyDiv w:val="1"/>
      <w:marLeft w:val="0"/>
      <w:marRight w:val="0"/>
      <w:marTop w:val="0"/>
      <w:marBottom w:val="0"/>
      <w:divBdr>
        <w:top w:val="none" w:sz="0" w:space="0" w:color="auto"/>
        <w:left w:val="none" w:sz="0" w:space="0" w:color="auto"/>
        <w:bottom w:val="none" w:sz="0" w:space="0" w:color="auto"/>
        <w:right w:val="none" w:sz="0" w:space="0" w:color="auto"/>
      </w:divBdr>
      <w:divsChild>
        <w:div w:id="1930774761">
          <w:marLeft w:val="0"/>
          <w:marRight w:val="0"/>
          <w:marTop w:val="0"/>
          <w:marBottom w:val="0"/>
          <w:divBdr>
            <w:top w:val="none" w:sz="0" w:space="0" w:color="auto"/>
            <w:left w:val="none" w:sz="0" w:space="0" w:color="auto"/>
            <w:bottom w:val="none" w:sz="0" w:space="0" w:color="auto"/>
            <w:right w:val="none" w:sz="0" w:space="0" w:color="auto"/>
          </w:divBdr>
          <w:divsChild>
            <w:div w:id="1679575862">
              <w:marLeft w:val="0"/>
              <w:marRight w:val="0"/>
              <w:marTop w:val="0"/>
              <w:marBottom w:val="0"/>
              <w:divBdr>
                <w:top w:val="none" w:sz="0" w:space="0" w:color="auto"/>
                <w:left w:val="none" w:sz="0" w:space="0" w:color="auto"/>
                <w:bottom w:val="none" w:sz="0" w:space="0" w:color="auto"/>
                <w:right w:val="none" w:sz="0" w:space="0" w:color="auto"/>
              </w:divBdr>
              <w:divsChild>
                <w:div w:id="2138982134">
                  <w:marLeft w:val="0"/>
                  <w:marRight w:val="0"/>
                  <w:marTop w:val="0"/>
                  <w:marBottom w:val="0"/>
                  <w:divBdr>
                    <w:top w:val="none" w:sz="0" w:space="0" w:color="auto"/>
                    <w:left w:val="none" w:sz="0" w:space="0" w:color="auto"/>
                    <w:bottom w:val="none" w:sz="0" w:space="0" w:color="auto"/>
                    <w:right w:val="none" w:sz="0" w:space="0" w:color="auto"/>
                  </w:divBdr>
                  <w:divsChild>
                    <w:div w:id="1708990339">
                      <w:marLeft w:val="0"/>
                      <w:marRight w:val="0"/>
                      <w:marTop w:val="0"/>
                      <w:marBottom w:val="0"/>
                      <w:divBdr>
                        <w:top w:val="none" w:sz="0" w:space="0" w:color="auto"/>
                        <w:left w:val="none" w:sz="0" w:space="0" w:color="auto"/>
                        <w:bottom w:val="none" w:sz="0" w:space="0" w:color="auto"/>
                        <w:right w:val="none" w:sz="0" w:space="0" w:color="auto"/>
                      </w:divBdr>
                      <w:divsChild>
                        <w:div w:id="1300575322">
                          <w:marLeft w:val="0"/>
                          <w:marRight w:val="0"/>
                          <w:marTop w:val="0"/>
                          <w:marBottom w:val="0"/>
                          <w:divBdr>
                            <w:top w:val="none" w:sz="0" w:space="0" w:color="auto"/>
                            <w:left w:val="none" w:sz="0" w:space="0" w:color="auto"/>
                            <w:bottom w:val="none" w:sz="0" w:space="0" w:color="auto"/>
                            <w:right w:val="none" w:sz="0" w:space="0" w:color="auto"/>
                          </w:divBdr>
                          <w:divsChild>
                            <w:div w:id="137200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867255">
      <w:bodyDiv w:val="1"/>
      <w:marLeft w:val="0"/>
      <w:marRight w:val="0"/>
      <w:marTop w:val="0"/>
      <w:marBottom w:val="0"/>
      <w:divBdr>
        <w:top w:val="none" w:sz="0" w:space="0" w:color="auto"/>
        <w:left w:val="none" w:sz="0" w:space="0" w:color="auto"/>
        <w:bottom w:val="none" w:sz="0" w:space="0" w:color="auto"/>
        <w:right w:val="none" w:sz="0" w:space="0" w:color="auto"/>
      </w:divBdr>
      <w:divsChild>
        <w:div w:id="1983462922">
          <w:marLeft w:val="0"/>
          <w:marRight w:val="0"/>
          <w:marTop w:val="0"/>
          <w:marBottom w:val="0"/>
          <w:divBdr>
            <w:top w:val="none" w:sz="0" w:space="0" w:color="auto"/>
            <w:left w:val="none" w:sz="0" w:space="0" w:color="auto"/>
            <w:bottom w:val="none" w:sz="0" w:space="0" w:color="auto"/>
            <w:right w:val="none" w:sz="0" w:space="0" w:color="auto"/>
          </w:divBdr>
        </w:div>
      </w:divsChild>
    </w:div>
    <w:div w:id="834417634">
      <w:bodyDiv w:val="1"/>
      <w:marLeft w:val="0"/>
      <w:marRight w:val="0"/>
      <w:marTop w:val="0"/>
      <w:marBottom w:val="0"/>
      <w:divBdr>
        <w:top w:val="none" w:sz="0" w:space="0" w:color="auto"/>
        <w:left w:val="none" w:sz="0" w:space="0" w:color="auto"/>
        <w:bottom w:val="none" w:sz="0" w:space="0" w:color="auto"/>
        <w:right w:val="none" w:sz="0" w:space="0" w:color="auto"/>
      </w:divBdr>
    </w:div>
    <w:div w:id="845441072">
      <w:bodyDiv w:val="1"/>
      <w:marLeft w:val="0"/>
      <w:marRight w:val="0"/>
      <w:marTop w:val="0"/>
      <w:marBottom w:val="0"/>
      <w:divBdr>
        <w:top w:val="none" w:sz="0" w:space="0" w:color="auto"/>
        <w:left w:val="none" w:sz="0" w:space="0" w:color="auto"/>
        <w:bottom w:val="none" w:sz="0" w:space="0" w:color="auto"/>
        <w:right w:val="none" w:sz="0" w:space="0" w:color="auto"/>
      </w:divBdr>
    </w:div>
    <w:div w:id="892469884">
      <w:bodyDiv w:val="1"/>
      <w:marLeft w:val="0"/>
      <w:marRight w:val="0"/>
      <w:marTop w:val="0"/>
      <w:marBottom w:val="0"/>
      <w:divBdr>
        <w:top w:val="none" w:sz="0" w:space="0" w:color="auto"/>
        <w:left w:val="none" w:sz="0" w:space="0" w:color="auto"/>
        <w:bottom w:val="none" w:sz="0" w:space="0" w:color="auto"/>
        <w:right w:val="none" w:sz="0" w:space="0" w:color="auto"/>
      </w:divBdr>
    </w:div>
    <w:div w:id="943465132">
      <w:bodyDiv w:val="1"/>
      <w:marLeft w:val="0"/>
      <w:marRight w:val="0"/>
      <w:marTop w:val="0"/>
      <w:marBottom w:val="0"/>
      <w:divBdr>
        <w:top w:val="none" w:sz="0" w:space="0" w:color="auto"/>
        <w:left w:val="none" w:sz="0" w:space="0" w:color="auto"/>
        <w:bottom w:val="none" w:sz="0" w:space="0" w:color="auto"/>
        <w:right w:val="none" w:sz="0" w:space="0" w:color="auto"/>
      </w:divBdr>
    </w:div>
    <w:div w:id="1024286313">
      <w:bodyDiv w:val="1"/>
      <w:marLeft w:val="0"/>
      <w:marRight w:val="0"/>
      <w:marTop w:val="0"/>
      <w:marBottom w:val="0"/>
      <w:divBdr>
        <w:top w:val="none" w:sz="0" w:space="0" w:color="auto"/>
        <w:left w:val="none" w:sz="0" w:space="0" w:color="auto"/>
        <w:bottom w:val="none" w:sz="0" w:space="0" w:color="auto"/>
        <w:right w:val="none" w:sz="0" w:space="0" w:color="auto"/>
      </w:divBdr>
    </w:div>
    <w:div w:id="1024749861">
      <w:bodyDiv w:val="1"/>
      <w:marLeft w:val="60"/>
      <w:marRight w:val="60"/>
      <w:marTop w:val="60"/>
      <w:marBottom w:val="15"/>
      <w:divBdr>
        <w:top w:val="none" w:sz="0" w:space="0" w:color="auto"/>
        <w:left w:val="none" w:sz="0" w:space="0" w:color="auto"/>
        <w:bottom w:val="none" w:sz="0" w:space="0" w:color="auto"/>
        <w:right w:val="none" w:sz="0" w:space="0" w:color="auto"/>
      </w:divBdr>
      <w:divsChild>
        <w:div w:id="1692796466">
          <w:marLeft w:val="0"/>
          <w:marRight w:val="0"/>
          <w:marTop w:val="0"/>
          <w:marBottom w:val="0"/>
          <w:divBdr>
            <w:top w:val="none" w:sz="0" w:space="0" w:color="auto"/>
            <w:left w:val="none" w:sz="0" w:space="0" w:color="auto"/>
            <w:bottom w:val="none" w:sz="0" w:space="0" w:color="auto"/>
            <w:right w:val="none" w:sz="0" w:space="0" w:color="auto"/>
          </w:divBdr>
        </w:div>
      </w:divsChild>
    </w:div>
    <w:div w:id="1036928344">
      <w:bodyDiv w:val="1"/>
      <w:marLeft w:val="0"/>
      <w:marRight w:val="0"/>
      <w:marTop w:val="0"/>
      <w:marBottom w:val="0"/>
      <w:divBdr>
        <w:top w:val="none" w:sz="0" w:space="0" w:color="auto"/>
        <w:left w:val="none" w:sz="0" w:space="0" w:color="auto"/>
        <w:bottom w:val="none" w:sz="0" w:space="0" w:color="auto"/>
        <w:right w:val="none" w:sz="0" w:space="0" w:color="auto"/>
      </w:divBdr>
      <w:divsChild>
        <w:div w:id="2031249183">
          <w:marLeft w:val="0"/>
          <w:marRight w:val="0"/>
          <w:marTop w:val="0"/>
          <w:marBottom w:val="0"/>
          <w:divBdr>
            <w:top w:val="none" w:sz="0" w:space="0" w:color="auto"/>
            <w:left w:val="none" w:sz="0" w:space="0" w:color="auto"/>
            <w:bottom w:val="none" w:sz="0" w:space="0" w:color="auto"/>
            <w:right w:val="none" w:sz="0" w:space="0" w:color="auto"/>
          </w:divBdr>
          <w:divsChild>
            <w:div w:id="113175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16236">
      <w:bodyDiv w:val="1"/>
      <w:marLeft w:val="0"/>
      <w:marRight w:val="0"/>
      <w:marTop w:val="0"/>
      <w:marBottom w:val="0"/>
      <w:divBdr>
        <w:top w:val="none" w:sz="0" w:space="0" w:color="auto"/>
        <w:left w:val="none" w:sz="0" w:space="0" w:color="auto"/>
        <w:bottom w:val="none" w:sz="0" w:space="0" w:color="auto"/>
        <w:right w:val="none" w:sz="0" w:space="0" w:color="auto"/>
      </w:divBdr>
    </w:div>
    <w:div w:id="1081755813">
      <w:bodyDiv w:val="1"/>
      <w:marLeft w:val="0"/>
      <w:marRight w:val="0"/>
      <w:marTop w:val="0"/>
      <w:marBottom w:val="0"/>
      <w:divBdr>
        <w:top w:val="none" w:sz="0" w:space="0" w:color="auto"/>
        <w:left w:val="none" w:sz="0" w:space="0" w:color="auto"/>
        <w:bottom w:val="none" w:sz="0" w:space="0" w:color="auto"/>
        <w:right w:val="none" w:sz="0" w:space="0" w:color="auto"/>
      </w:divBdr>
    </w:div>
    <w:div w:id="1082534200">
      <w:bodyDiv w:val="1"/>
      <w:marLeft w:val="0"/>
      <w:marRight w:val="0"/>
      <w:marTop w:val="0"/>
      <w:marBottom w:val="0"/>
      <w:divBdr>
        <w:top w:val="none" w:sz="0" w:space="0" w:color="auto"/>
        <w:left w:val="none" w:sz="0" w:space="0" w:color="auto"/>
        <w:bottom w:val="none" w:sz="0" w:space="0" w:color="auto"/>
        <w:right w:val="none" w:sz="0" w:space="0" w:color="auto"/>
      </w:divBdr>
      <w:divsChild>
        <w:div w:id="222329322">
          <w:marLeft w:val="0"/>
          <w:marRight w:val="0"/>
          <w:marTop w:val="0"/>
          <w:marBottom w:val="0"/>
          <w:divBdr>
            <w:top w:val="none" w:sz="0" w:space="0" w:color="auto"/>
            <w:left w:val="none" w:sz="0" w:space="0" w:color="auto"/>
            <w:bottom w:val="none" w:sz="0" w:space="0" w:color="auto"/>
            <w:right w:val="none" w:sz="0" w:space="0" w:color="auto"/>
          </w:divBdr>
          <w:divsChild>
            <w:div w:id="825783334">
              <w:marLeft w:val="0"/>
              <w:marRight w:val="0"/>
              <w:marTop w:val="0"/>
              <w:marBottom w:val="0"/>
              <w:divBdr>
                <w:top w:val="none" w:sz="0" w:space="0" w:color="auto"/>
                <w:left w:val="none" w:sz="0" w:space="0" w:color="auto"/>
                <w:bottom w:val="none" w:sz="0" w:space="0" w:color="auto"/>
                <w:right w:val="none" w:sz="0" w:space="0" w:color="auto"/>
              </w:divBdr>
              <w:divsChild>
                <w:div w:id="112192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306969">
      <w:bodyDiv w:val="1"/>
      <w:marLeft w:val="0"/>
      <w:marRight w:val="0"/>
      <w:marTop w:val="0"/>
      <w:marBottom w:val="0"/>
      <w:divBdr>
        <w:top w:val="none" w:sz="0" w:space="0" w:color="auto"/>
        <w:left w:val="none" w:sz="0" w:space="0" w:color="auto"/>
        <w:bottom w:val="none" w:sz="0" w:space="0" w:color="auto"/>
        <w:right w:val="none" w:sz="0" w:space="0" w:color="auto"/>
      </w:divBdr>
      <w:divsChild>
        <w:div w:id="241183208">
          <w:marLeft w:val="0"/>
          <w:marRight w:val="0"/>
          <w:marTop w:val="0"/>
          <w:marBottom w:val="0"/>
          <w:divBdr>
            <w:top w:val="none" w:sz="0" w:space="0" w:color="auto"/>
            <w:left w:val="none" w:sz="0" w:space="0" w:color="auto"/>
            <w:bottom w:val="none" w:sz="0" w:space="0" w:color="auto"/>
            <w:right w:val="none" w:sz="0" w:space="0" w:color="auto"/>
          </w:divBdr>
          <w:divsChild>
            <w:div w:id="1786851865">
              <w:marLeft w:val="0"/>
              <w:marRight w:val="0"/>
              <w:marTop w:val="0"/>
              <w:marBottom w:val="0"/>
              <w:divBdr>
                <w:top w:val="none" w:sz="0" w:space="0" w:color="auto"/>
                <w:left w:val="none" w:sz="0" w:space="0" w:color="auto"/>
                <w:bottom w:val="none" w:sz="0" w:space="0" w:color="auto"/>
                <w:right w:val="none" w:sz="0" w:space="0" w:color="auto"/>
              </w:divBdr>
              <w:divsChild>
                <w:div w:id="1434209505">
                  <w:marLeft w:val="0"/>
                  <w:marRight w:val="0"/>
                  <w:marTop w:val="0"/>
                  <w:marBottom w:val="0"/>
                  <w:divBdr>
                    <w:top w:val="none" w:sz="0" w:space="0" w:color="auto"/>
                    <w:left w:val="none" w:sz="0" w:space="0" w:color="auto"/>
                    <w:bottom w:val="none" w:sz="0" w:space="0" w:color="auto"/>
                    <w:right w:val="none" w:sz="0" w:space="0" w:color="auto"/>
                  </w:divBdr>
                  <w:divsChild>
                    <w:div w:id="113772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71853">
      <w:bodyDiv w:val="1"/>
      <w:marLeft w:val="0"/>
      <w:marRight w:val="0"/>
      <w:marTop w:val="0"/>
      <w:marBottom w:val="0"/>
      <w:divBdr>
        <w:top w:val="none" w:sz="0" w:space="0" w:color="auto"/>
        <w:left w:val="none" w:sz="0" w:space="0" w:color="auto"/>
        <w:bottom w:val="none" w:sz="0" w:space="0" w:color="auto"/>
        <w:right w:val="none" w:sz="0" w:space="0" w:color="auto"/>
      </w:divBdr>
      <w:divsChild>
        <w:div w:id="411049861">
          <w:marLeft w:val="0"/>
          <w:marRight w:val="0"/>
          <w:marTop w:val="0"/>
          <w:marBottom w:val="0"/>
          <w:divBdr>
            <w:top w:val="none" w:sz="0" w:space="0" w:color="auto"/>
            <w:left w:val="none" w:sz="0" w:space="0" w:color="auto"/>
            <w:bottom w:val="none" w:sz="0" w:space="0" w:color="auto"/>
            <w:right w:val="none" w:sz="0" w:space="0" w:color="auto"/>
          </w:divBdr>
        </w:div>
        <w:div w:id="466776194">
          <w:marLeft w:val="0"/>
          <w:marRight w:val="0"/>
          <w:marTop w:val="0"/>
          <w:marBottom w:val="0"/>
          <w:divBdr>
            <w:top w:val="none" w:sz="0" w:space="0" w:color="auto"/>
            <w:left w:val="none" w:sz="0" w:space="0" w:color="auto"/>
            <w:bottom w:val="none" w:sz="0" w:space="0" w:color="auto"/>
            <w:right w:val="none" w:sz="0" w:space="0" w:color="auto"/>
          </w:divBdr>
        </w:div>
        <w:div w:id="1185825780">
          <w:marLeft w:val="0"/>
          <w:marRight w:val="0"/>
          <w:marTop w:val="0"/>
          <w:marBottom w:val="0"/>
          <w:divBdr>
            <w:top w:val="none" w:sz="0" w:space="0" w:color="auto"/>
            <w:left w:val="none" w:sz="0" w:space="0" w:color="auto"/>
            <w:bottom w:val="none" w:sz="0" w:space="0" w:color="auto"/>
            <w:right w:val="none" w:sz="0" w:space="0" w:color="auto"/>
          </w:divBdr>
        </w:div>
        <w:div w:id="1270041607">
          <w:marLeft w:val="0"/>
          <w:marRight w:val="0"/>
          <w:marTop w:val="0"/>
          <w:marBottom w:val="0"/>
          <w:divBdr>
            <w:top w:val="none" w:sz="0" w:space="0" w:color="auto"/>
            <w:left w:val="none" w:sz="0" w:space="0" w:color="auto"/>
            <w:bottom w:val="none" w:sz="0" w:space="0" w:color="auto"/>
            <w:right w:val="none" w:sz="0" w:space="0" w:color="auto"/>
          </w:divBdr>
        </w:div>
        <w:div w:id="2063823280">
          <w:marLeft w:val="0"/>
          <w:marRight w:val="0"/>
          <w:marTop w:val="0"/>
          <w:marBottom w:val="0"/>
          <w:divBdr>
            <w:top w:val="none" w:sz="0" w:space="0" w:color="auto"/>
            <w:left w:val="none" w:sz="0" w:space="0" w:color="auto"/>
            <w:bottom w:val="none" w:sz="0" w:space="0" w:color="auto"/>
            <w:right w:val="none" w:sz="0" w:space="0" w:color="auto"/>
          </w:divBdr>
        </w:div>
        <w:div w:id="2138717713">
          <w:marLeft w:val="0"/>
          <w:marRight w:val="0"/>
          <w:marTop w:val="0"/>
          <w:marBottom w:val="0"/>
          <w:divBdr>
            <w:top w:val="none" w:sz="0" w:space="0" w:color="auto"/>
            <w:left w:val="none" w:sz="0" w:space="0" w:color="auto"/>
            <w:bottom w:val="none" w:sz="0" w:space="0" w:color="auto"/>
            <w:right w:val="none" w:sz="0" w:space="0" w:color="auto"/>
          </w:divBdr>
        </w:div>
      </w:divsChild>
    </w:div>
    <w:div w:id="1134447753">
      <w:bodyDiv w:val="1"/>
      <w:marLeft w:val="0"/>
      <w:marRight w:val="0"/>
      <w:marTop w:val="0"/>
      <w:marBottom w:val="0"/>
      <w:divBdr>
        <w:top w:val="none" w:sz="0" w:space="0" w:color="auto"/>
        <w:left w:val="none" w:sz="0" w:space="0" w:color="auto"/>
        <w:bottom w:val="none" w:sz="0" w:space="0" w:color="auto"/>
        <w:right w:val="none" w:sz="0" w:space="0" w:color="auto"/>
      </w:divBdr>
    </w:div>
    <w:div w:id="1138448566">
      <w:bodyDiv w:val="1"/>
      <w:marLeft w:val="0"/>
      <w:marRight w:val="0"/>
      <w:marTop w:val="0"/>
      <w:marBottom w:val="0"/>
      <w:divBdr>
        <w:top w:val="none" w:sz="0" w:space="0" w:color="auto"/>
        <w:left w:val="none" w:sz="0" w:space="0" w:color="auto"/>
        <w:bottom w:val="none" w:sz="0" w:space="0" w:color="auto"/>
        <w:right w:val="none" w:sz="0" w:space="0" w:color="auto"/>
      </w:divBdr>
    </w:div>
    <w:div w:id="1146047478">
      <w:bodyDiv w:val="1"/>
      <w:marLeft w:val="0"/>
      <w:marRight w:val="0"/>
      <w:marTop w:val="0"/>
      <w:marBottom w:val="0"/>
      <w:divBdr>
        <w:top w:val="none" w:sz="0" w:space="0" w:color="auto"/>
        <w:left w:val="none" w:sz="0" w:space="0" w:color="auto"/>
        <w:bottom w:val="none" w:sz="0" w:space="0" w:color="auto"/>
        <w:right w:val="none" w:sz="0" w:space="0" w:color="auto"/>
      </w:divBdr>
    </w:div>
    <w:div w:id="1166364464">
      <w:bodyDiv w:val="1"/>
      <w:marLeft w:val="0"/>
      <w:marRight w:val="0"/>
      <w:marTop w:val="0"/>
      <w:marBottom w:val="0"/>
      <w:divBdr>
        <w:top w:val="none" w:sz="0" w:space="0" w:color="auto"/>
        <w:left w:val="none" w:sz="0" w:space="0" w:color="auto"/>
        <w:bottom w:val="none" w:sz="0" w:space="0" w:color="auto"/>
        <w:right w:val="none" w:sz="0" w:space="0" w:color="auto"/>
      </w:divBdr>
      <w:divsChild>
        <w:div w:id="251624493">
          <w:marLeft w:val="0"/>
          <w:marRight w:val="0"/>
          <w:marTop w:val="0"/>
          <w:marBottom w:val="0"/>
          <w:divBdr>
            <w:top w:val="none" w:sz="0" w:space="0" w:color="auto"/>
            <w:left w:val="none" w:sz="0" w:space="0" w:color="auto"/>
            <w:bottom w:val="none" w:sz="0" w:space="0" w:color="auto"/>
            <w:right w:val="none" w:sz="0" w:space="0" w:color="auto"/>
          </w:divBdr>
        </w:div>
        <w:div w:id="266237045">
          <w:marLeft w:val="0"/>
          <w:marRight w:val="0"/>
          <w:marTop w:val="0"/>
          <w:marBottom w:val="0"/>
          <w:divBdr>
            <w:top w:val="none" w:sz="0" w:space="0" w:color="auto"/>
            <w:left w:val="none" w:sz="0" w:space="0" w:color="auto"/>
            <w:bottom w:val="none" w:sz="0" w:space="0" w:color="auto"/>
            <w:right w:val="none" w:sz="0" w:space="0" w:color="auto"/>
          </w:divBdr>
        </w:div>
        <w:div w:id="280383161">
          <w:marLeft w:val="0"/>
          <w:marRight w:val="0"/>
          <w:marTop w:val="0"/>
          <w:marBottom w:val="0"/>
          <w:divBdr>
            <w:top w:val="none" w:sz="0" w:space="0" w:color="auto"/>
            <w:left w:val="none" w:sz="0" w:space="0" w:color="auto"/>
            <w:bottom w:val="none" w:sz="0" w:space="0" w:color="auto"/>
            <w:right w:val="none" w:sz="0" w:space="0" w:color="auto"/>
          </w:divBdr>
        </w:div>
        <w:div w:id="499126755">
          <w:marLeft w:val="0"/>
          <w:marRight w:val="0"/>
          <w:marTop w:val="0"/>
          <w:marBottom w:val="0"/>
          <w:divBdr>
            <w:top w:val="none" w:sz="0" w:space="0" w:color="auto"/>
            <w:left w:val="none" w:sz="0" w:space="0" w:color="auto"/>
            <w:bottom w:val="none" w:sz="0" w:space="0" w:color="auto"/>
            <w:right w:val="none" w:sz="0" w:space="0" w:color="auto"/>
          </w:divBdr>
        </w:div>
        <w:div w:id="810444268">
          <w:marLeft w:val="0"/>
          <w:marRight w:val="0"/>
          <w:marTop w:val="0"/>
          <w:marBottom w:val="0"/>
          <w:divBdr>
            <w:top w:val="none" w:sz="0" w:space="0" w:color="auto"/>
            <w:left w:val="none" w:sz="0" w:space="0" w:color="auto"/>
            <w:bottom w:val="none" w:sz="0" w:space="0" w:color="auto"/>
            <w:right w:val="none" w:sz="0" w:space="0" w:color="auto"/>
          </w:divBdr>
        </w:div>
        <w:div w:id="1114251837">
          <w:marLeft w:val="0"/>
          <w:marRight w:val="0"/>
          <w:marTop w:val="0"/>
          <w:marBottom w:val="0"/>
          <w:divBdr>
            <w:top w:val="none" w:sz="0" w:space="0" w:color="auto"/>
            <w:left w:val="none" w:sz="0" w:space="0" w:color="auto"/>
            <w:bottom w:val="none" w:sz="0" w:space="0" w:color="auto"/>
            <w:right w:val="none" w:sz="0" w:space="0" w:color="auto"/>
          </w:divBdr>
          <w:divsChild>
            <w:div w:id="326597269">
              <w:marLeft w:val="0"/>
              <w:marRight w:val="0"/>
              <w:marTop w:val="0"/>
              <w:marBottom w:val="0"/>
              <w:divBdr>
                <w:top w:val="none" w:sz="0" w:space="0" w:color="auto"/>
                <w:left w:val="none" w:sz="0" w:space="0" w:color="auto"/>
                <w:bottom w:val="none" w:sz="0" w:space="0" w:color="auto"/>
                <w:right w:val="none" w:sz="0" w:space="0" w:color="auto"/>
              </w:divBdr>
            </w:div>
            <w:div w:id="2001736829">
              <w:marLeft w:val="0"/>
              <w:marRight w:val="0"/>
              <w:marTop w:val="0"/>
              <w:marBottom w:val="0"/>
              <w:divBdr>
                <w:top w:val="none" w:sz="0" w:space="0" w:color="auto"/>
                <w:left w:val="none" w:sz="0" w:space="0" w:color="auto"/>
                <w:bottom w:val="none" w:sz="0" w:space="0" w:color="auto"/>
                <w:right w:val="none" w:sz="0" w:space="0" w:color="auto"/>
              </w:divBdr>
            </w:div>
          </w:divsChild>
        </w:div>
        <w:div w:id="1168715693">
          <w:marLeft w:val="0"/>
          <w:marRight w:val="0"/>
          <w:marTop w:val="0"/>
          <w:marBottom w:val="0"/>
          <w:divBdr>
            <w:top w:val="none" w:sz="0" w:space="0" w:color="auto"/>
            <w:left w:val="none" w:sz="0" w:space="0" w:color="auto"/>
            <w:bottom w:val="none" w:sz="0" w:space="0" w:color="auto"/>
            <w:right w:val="none" w:sz="0" w:space="0" w:color="auto"/>
          </w:divBdr>
        </w:div>
        <w:div w:id="1225532184">
          <w:marLeft w:val="0"/>
          <w:marRight w:val="0"/>
          <w:marTop w:val="0"/>
          <w:marBottom w:val="0"/>
          <w:divBdr>
            <w:top w:val="none" w:sz="0" w:space="0" w:color="auto"/>
            <w:left w:val="none" w:sz="0" w:space="0" w:color="auto"/>
            <w:bottom w:val="none" w:sz="0" w:space="0" w:color="auto"/>
            <w:right w:val="none" w:sz="0" w:space="0" w:color="auto"/>
          </w:divBdr>
        </w:div>
        <w:div w:id="1426610789">
          <w:marLeft w:val="0"/>
          <w:marRight w:val="0"/>
          <w:marTop w:val="0"/>
          <w:marBottom w:val="0"/>
          <w:divBdr>
            <w:top w:val="none" w:sz="0" w:space="0" w:color="auto"/>
            <w:left w:val="none" w:sz="0" w:space="0" w:color="auto"/>
            <w:bottom w:val="none" w:sz="0" w:space="0" w:color="auto"/>
            <w:right w:val="none" w:sz="0" w:space="0" w:color="auto"/>
          </w:divBdr>
        </w:div>
        <w:div w:id="1677610471">
          <w:marLeft w:val="0"/>
          <w:marRight w:val="0"/>
          <w:marTop w:val="0"/>
          <w:marBottom w:val="0"/>
          <w:divBdr>
            <w:top w:val="none" w:sz="0" w:space="0" w:color="auto"/>
            <w:left w:val="none" w:sz="0" w:space="0" w:color="auto"/>
            <w:bottom w:val="none" w:sz="0" w:space="0" w:color="auto"/>
            <w:right w:val="none" w:sz="0" w:space="0" w:color="auto"/>
          </w:divBdr>
        </w:div>
        <w:div w:id="1701205767">
          <w:marLeft w:val="0"/>
          <w:marRight w:val="0"/>
          <w:marTop w:val="0"/>
          <w:marBottom w:val="0"/>
          <w:divBdr>
            <w:top w:val="none" w:sz="0" w:space="0" w:color="auto"/>
            <w:left w:val="none" w:sz="0" w:space="0" w:color="auto"/>
            <w:bottom w:val="none" w:sz="0" w:space="0" w:color="auto"/>
            <w:right w:val="none" w:sz="0" w:space="0" w:color="auto"/>
          </w:divBdr>
        </w:div>
        <w:div w:id="2106686440">
          <w:marLeft w:val="0"/>
          <w:marRight w:val="0"/>
          <w:marTop w:val="0"/>
          <w:marBottom w:val="0"/>
          <w:divBdr>
            <w:top w:val="none" w:sz="0" w:space="0" w:color="auto"/>
            <w:left w:val="none" w:sz="0" w:space="0" w:color="auto"/>
            <w:bottom w:val="none" w:sz="0" w:space="0" w:color="auto"/>
            <w:right w:val="none" w:sz="0" w:space="0" w:color="auto"/>
          </w:divBdr>
        </w:div>
        <w:div w:id="2134712261">
          <w:marLeft w:val="0"/>
          <w:marRight w:val="0"/>
          <w:marTop w:val="0"/>
          <w:marBottom w:val="0"/>
          <w:divBdr>
            <w:top w:val="none" w:sz="0" w:space="0" w:color="auto"/>
            <w:left w:val="none" w:sz="0" w:space="0" w:color="auto"/>
            <w:bottom w:val="none" w:sz="0" w:space="0" w:color="auto"/>
            <w:right w:val="none" w:sz="0" w:space="0" w:color="auto"/>
          </w:divBdr>
        </w:div>
      </w:divsChild>
    </w:div>
    <w:div w:id="1177693495">
      <w:bodyDiv w:val="1"/>
      <w:marLeft w:val="0"/>
      <w:marRight w:val="0"/>
      <w:marTop w:val="0"/>
      <w:marBottom w:val="0"/>
      <w:divBdr>
        <w:top w:val="none" w:sz="0" w:space="0" w:color="auto"/>
        <w:left w:val="none" w:sz="0" w:space="0" w:color="auto"/>
        <w:bottom w:val="none" w:sz="0" w:space="0" w:color="auto"/>
        <w:right w:val="none" w:sz="0" w:space="0" w:color="auto"/>
      </w:divBdr>
    </w:div>
    <w:div w:id="1186483646">
      <w:bodyDiv w:val="1"/>
      <w:marLeft w:val="0"/>
      <w:marRight w:val="0"/>
      <w:marTop w:val="0"/>
      <w:marBottom w:val="0"/>
      <w:divBdr>
        <w:top w:val="none" w:sz="0" w:space="0" w:color="auto"/>
        <w:left w:val="none" w:sz="0" w:space="0" w:color="auto"/>
        <w:bottom w:val="none" w:sz="0" w:space="0" w:color="auto"/>
        <w:right w:val="none" w:sz="0" w:space="0" w:color="auto"/>
      </w:divBdr>
    </w:div>
    <w:div w:id="1187139354">
      <w:bodyDiv w:val="1"/>
      <w:marLeft w:val="0"/>
      <w:marRight w:val="0"/>
      <w:marTop w:val="0"/>
      <w:marBottom w:val="0"/>
      <w:divBdr>
        <w:top w:val="none" w:sz="0" w:space="0" w:color="auto"/>
        <w:left w:val="none" w:sz="0" w:space="0" w:color="auto"/>
        <w:bottom w:val="none" w:sz="0" w:space="0" w:color="auto"/>
        <w:right w:val="none" w:sz="0" w:space="0" w:color="auto"/>
      </w:divBdr>
    </w:div>
    <w:div w:id="1225989916">
      <w:bodyDiv w:val="1"/>
      <w:marLeft w:val="0"/>
      <w:marRight w:val="0"/>
      <w:marTop w:val="0"/>
      <w:marBottom w:val="0"/>
      <w:divBdr>
        <w:top w:val="none" w:sz="0" w:space="0" w:color="auto"/>
        <w:left w:val="none" w:sz="0" w:space="0" w:color="auto"/>
        <w:bottom w:val="none" w:sz="0" w:space="0" w:color="auto"/>
        <w:right w:val="none" w:sz="0" w:space="0" w:color="auto"/>
      </w:divBdr>
    </w:div>
    <w:div w:id="1231500360">
      <w:bodyDiv w:val="1"/>
      <w:marLeft w:val="0"/>
      <w:marRight w:val="0"/>
      <w:marTop w:val="0"/>
      <w:marBottom w:val="0"/>
      <w:divBdr>
        <w:top w:val="none" w:sz="0" w:space="0" w:color="auto"/>
        <w:left w:val="none" w:sz="0" w:space="0" w:color="auto"/>
        <w:bottom w:val="none" w:sz="0" w:space="0" w:color="auto"/>
        <w:right w:val="none" w:sz="0" w:space="0" w:color="auto"/>
      </w:divBdr>
      <w:divsChild>
        <w:div w:id="1271358196">
          <w:marLeft w:val="0"/>
          <w:marRight w:val="0"/>
          <w:marTop w:val="0"/>
          <w:marBottom w:val="0"/>
          <w:divBdr>
            <w:top w:val="none" w:sz="0" w:space="0" w:color="auto"/>
            <w:left w:val="none" w:sz="0" w:space="0" w:color="auto"/>
            <w:bottom w:val="none" w:sz="0" w:space="0" w:color="auto"/>
            <w:right w:val="none" w:sz="0" w:space="0" w:color="auto"/>
          </w:divBdr>
        </w:div>
      </w:divsChild>
    </w:div>
    <w:div w:id="1242716140">
      <w:bodyDiv w:val="1"/>
      <w:marLeft w:val="60"/>
      <w:marRight w:val="60"/>
      <w:marTop w:val="60"/>
      <w:marBottom w:val="15"/>
      <w:divBdr>
        <w:top w:val="none" w:sz="0" w:space="0" w:color="auto"/>
        <w:left w:val="none" w:sz="0" w:space="0" w:color="auto"/>
        <w:bottom w:val="none" w:sz="0" w:space="0" w:color="auto"/>
        <w:right w:val="none" w:sz="0" w:space="0" w:color="auto"/>
      </w:divBdr>
      <w:divsChild>
        <w:div w:id="368456059">
          <w:marLeft w:val="0"/>
          <w:marRight w:val="0"/>
          <w:marTop w:val="0"/>
          <w:marBottom w:val="0"/>
          <w:divBdr>
            <w:top w:val="none" w:sz="0" w:space="0" w:color="auto"/>
            <w:left w:val="none" w:sz="0" w:space="0" w:color="auto"/>
            <w:bottom w:val="none" w:sz="0" w:space="0" w:color="auto"/>
            <w:right w:val="none" w:sz="0" w:space="0" w:color="auto"/>
          </w:divBdr>
          <w:divsChild>
            <w:div w:id="651716342">
              <w:marLeft w:val="0"/>
              <w:marRight w:val="0"/>
              <w:marTop w:val="0"/>
              <w:marBottom w:val="0"/>
              <w:divBdr>
                <w:top w:val="none" w:sz="0" w:space="0" w:color="auto"/>
                <w:left w:val="none" w:sz="0" w:space="0" w:color="auto"/>
                <w:bottom w:val="none" w:sz="0" w:space="0" w:color="auto"/>
                <w:right w:val="none" w:sz="0" w:space="0" w:color="auto"/>
              </w:divBdr>
              <w:divsChild>
                <w:div w:id="667909216">
                  <w:marLeft w:val="0"/>
                  <w:marRight w:val="0"/>
                  <w:marTop w:val="0"/>
                  <w:marBottom w:val="0"/>
                  <w:divBdr>
                    <w:top w:val="none" w:sz="0" w:space="0" w:color="auto"/>
                    <w:left w:val="none" w:sz="0" w:space="0" w:color="auto"/>
                    <w:bottom w:val="none" w:sz="0" w:space="0" w:color="auto"/>
                    <w:right w:val="none" w:sz="0" w:space="0" w:color="auto"/>
                  </w:divBdr>
                  <w:divsChild>
                    <w:div w:id="4524013">
                      <w:marLeft w:val="0"/>
                      <w:marRight w:val="0"/>
                      <w:marTop w:val="0"/>
                      <w:marBottom w:val="0"/>
                      <w:divBdr>
                        <w:top w:val="none" w:sz="0" w:space="0" w:color="auto"/>
                        <w:left w:val="none" w:sz="0" w:space="0" w:color="auto"/>
                        <w:bottom w:val="none" w:sz="0" w:space="0" w:color="auto"/>
                        <w:right w:val="none" w:sz="0" w:space="0" w:color="auto"/>
                      </w:divBdr>
                    </w:div>
                    <w:div w:id="161168215">
                      <w:marLeft w:val="0"/>
                      <w:marRight w:val="0"/>
                      <w:marTop w:val="0"/>
                      <w:marBottom w:val="0"/>
                      <w:divBdr>
                        <w:top w:val="none" w:sz="0" w:space="0" w:color="auto"/>
                        <w:left w:val="none" w:sz="0" w:space="0" w:color="auto"/>
                        <w:bottom w:val="none" w:sz="0" w:space="0" w:color="auto"/>
                        <w:right w:val="none" w:sz="0" w:space="0" w:color="auto"/>
                      </w:divBdr>
                    </w:div>
                    <w:div w:id="161896382">
                      <w:marLeft w:val="0"/>
                      <w:marRight w:val="0"/>
                      <w:marTop w:val="0"/>
                      <w:marBottom w:val="0"/>
                      <w:divBdr>
                        <w:top w:val="none" w:sz="0" w:space="0" w:color="auto"/>
                        <w:left w:val="none" w:sz="0" w:space="0" w:color="auto"/>
                        <w:bottom w:val="none" w:sz="0" w:space="0" w:color="auto"/>
                        <w:right w:val="none" w:sz="0" w:space="0" w:color="auto"/>
                      </w:divBdr>
                    </w:div>
                    <w:div w:id="595943223">
                      <w:marLeft w:val="0"/>
                      <w:marRight w:val="0"/>
                      <w:marTop w:val="0"/>
                      <w:marBottom w:val="0"/>
                      <w:divBdr>
                        <w:top w:val="none" w:sz="0" w:space="0" w:color="auto"/>
                        <w:left w:val="none" w:sz="0" w:space="0" w:color="auto"/>
                        <w:bottom w:val="none" w:sz="0" w:space="0" w:color="auto"/>
                        <w:right w:val="none" w:sz="0" w:space="0" w:color="auto"/>
                      </w:divBdr>
                    </w:div>
                    <w:div w:id="1874338958">
                      <w:marLeft w:val="0"/>
                      <w:marRight w:val="0"/>
                      <w:marTop w:val="0"/>
                      <w:marBottom w:val="0"/>
                      <w:divBdr>
                        <w:top w:val="none" w:sz="0" w:space="0" w:color="auto"/>
                        <w:left w:val="none" w:sz="0" w:space="0" w:color="auto"/>
                        <w:bottom w:val="none" w:sz="0" w:space="0" w:color="auto"/>
                        <w:right w:val="none" w:sz="0" w:space="0" w:color="auto"/>
                      </w:divBdr>
                    </w:div>
                    <w:div w:id="18948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671775">
      <w:bodyDiv w:val="1"/>
      <w:marLeft w:val="0"/>
      <w:marRight w:val="0"/>
      <w:marTop w:val="0"/>
      <w:marBottom w:val="0"/>
      <w:divBdr>
        <w:top w:val="none" w:sz="0" w:space="0" w:color="auto"/>
        <w:left w:val="none" w:sz="0" w:space="0" w:color="auto"/>
        <w:bottom w:val="none" w:sz="0" w:space="0" w:color="auto"/>
        <w:right w:val="none" w:sz="0" w:space="0" w:color="auto"/>
      </w:divBdr>
    </w:div>
    <w:div w:id="1267344152">
      <w:bodyDiv w:val="1"/>
      <w:marLeft w:val="0"/>
      <w:marRight w:val="0"/>
      <w:marTop w:val="0"/>
      <w:marBottom w:val="0"/>
      <w:divBdr>
        <w:top w:val="none" w:sz="0" w:space="0" w:color="auto"/>
        <w:left w:val="none" w:sz="0" w:space="0" w:color="auto"/>
        <w:bottom w:val="none" w:sz="0" w:space="0" w:color="auto"/>
        <w:right w:val="none" w:sz="0" w:space="0" w:color="auto"/>
      </w:divBdr>
    </w:div>
    <w:div w:id="1310938534">
      <w:bodyDiv w:val="1"/>
      <w:marLeft w:val="0"/>
      <w:marRight w:val="0"/>
      <w:marTop w:val="0"/>
      <w:marBottom w:val="0"/>
      <w:divBdr>
        <w:top w:val="none" w:sz="0" w:space="0" w:color="auto"/>
        <w:left w:val="none" w:sz="0" w:space="0" w:color="auto"/>
        <w:bottom w:val="none" w:sz="0" w:space="0" w:color="auto"/>
        <w:right w:val="none" w:sz="0" w:space="0" w:color="auto"/>
      </w:divBdr>
      <w:divsChild>
        <w:div w:id="1773233785">
          <w:marLeft w:val="0"/>
          <w:marRight w:val="0"/>
          <w:marTop w:val="0"/>
          <w:marBottom w:val="0"/>
          <w:divBdr>
            <w:top w:val="none" w:sz="0" w:space="0" w:color="auto"/>
            <w:left w:val="none" w:sz="0" w:space="0" w:color="auto"/>
            <w:bottom w:val="none" w:sz="0" w:space="0" w:color="auto"/>
            <w:right w:val="none" w:sz="0" w:space="0" w:color="auto"/>
          </w:divBdr>
          <w:divsChild>
            <w:div w:id="1844396723">
              <w:marLeft w:val="0"/>
              <w:marRight w:val="0"/>
              <w:marTop w:val="0"/>
              <w:marBottom w:val="0"/>
              <w:divBdr>
                <w:top w:val="none" w:sz="0" w:space="0" w:color="auto"/>
                <w:left w:val="none" w:sz="0" w:space="0" w:color="auto"/>
                <w:bottom w:val="none" w:sz="0" w:space="0" w:color="auto"/>
                <w:right w:val="none" w:sz="0" w:space="0" w:color="auto"/>
              </w:divBdr>
              <w:divsChild>
                <w:div w:id="1747411697">
                  <w:marLeft w:val="0"/>
                  <w:marRight w:val="0"/>
                  <w:marTop w:val="0"/>
                  <w:marBottom w:val="0"/>
                  <w:divBdr>
                    <w:top w:val="none" w:sz="0" w:space="0" w:color="auto"/>
                    <w:left w:val="none" w:sz="0" w:space="0" w:color="auto"/>
                    <w:bottom w:val="none" w:sz="0" w:space="0" w:color="auto"/>
                    <w:right w:val="none" w:sz="0" w:space="0" w:color="auto"/>
                  </w:divBdr>
                  <w:divsChild>
                    <w:div w:id="2028947287">
                      <w:marLeft w:val="0"/>
                      <w:marRight w:val="0"/>
                      <w:marTop w:val="0"/>
                      <w:marBottom w:val="0"/>
                      <w:divBdr>
                        <w:top w:val="none" w:sz="0" w:space="0" w:color="auto"/>
                        <w:left w:val="none" w:sz="0" w:space="0" w:color="auto"/>
                        <w:bottom w:val="none" w:sz="0" w:space="0" w:color="auto"/>
                        <w:right w:val="none" w:sz="0" w:space="0" w:color="auto"/>
                      </w:divBdr>
                      <w:divsChild>
                        <w:div w:id="1628856753">
                          <w:marLeft w:val="-15"/>
                          <w:marRight w:val="0"/>
                          <w:marTop w:val="0"/>
                          <w:marBottom w:val="0"/>
                          <w:divBdr>
                            <w:top w:val="none" w:sz="0" w:space="0" w:color="auto"/>
                            <w:left w:val="none" w:sz="0" w:space="0" w:color="auto"/>
                            <w:bottom w:val="none" w:sz="0" w:space="0" w:color="auto"/>
                            <w:right w:val="none" w:sz="0" w:space="0" w:color="auto"/>
                          </w:divBdr>
                          <w:divsChild>
                            <w:div w:id="1438335196">
                              <w:marLeft w:val="0"/>
                              <w:marRight w:val="0"/>
                              <w:marTop w:val="0"/>
                              <w:marBottom w:val="0"/>
                              <w:divBdr>
                                <w:top w:val="none" w:sz="0" w:space="0" w:color="auto"/>
                                <w:left w:val="none" w:sz="0" w:space="0" w:color="auto"/>
                                <w:bottom w:val="none" w:sz="0" w:space="0" w:color="auto"/>
                                <w:right w:val="none" w:sz="0" w:space="0" w:color="auto"/>
                              </w:divBdr>
                              <w:divsChild>
                                <w:div w:id="474640768">
                                  <w:marLeft w:val="0"/>
                                  <w:marRight w:val="-15"/>
                                  <w:marTop w:val="0"/>
                                  <w:marBottom w:val="0"/>
                                  <w:divBdr>
                                    <w:top w:val="none" w:sz="0" w:space="0" w:color="auto"/>
                                    <w:left w:val="none" w:sz="0" w:space="0" w:color="auto"/>
                                    <w:bottom w:val="none" w:sz="0" w:space="0" w:color="auto"/>
                                    <w:right w:val="none" w:sz="0" w:space="0" w:color="auto"/>
                                  </w:divBdr>
                                  <w:divsChild>
                                    <w:div w:id="1613316438">
                                      <w:marLeft w:val="0"/>
                                      <w:marRight w:val="0"/>
                                      <w:marTop w:val="0"/>
                                      <w:marBottom w:val="0"/>
                                      <w:divBdr>
                                        <w:top w:val="none" w:sz="0" w:space="0" w:color="auto"/>
                                        <w:left w:val="none" w:sz="0" w:space="0" w:color="auto"/>
                                        <w:bottom w:val="none" w:sz="0" w:space="0" w:color="auto"/>
                                        <w:right w:val="none" w:sz="0" w:space="0" w:color="auto"/>
                                      </w:divBdr>
                                      <w:divsChild>
                                        <w:div w:id="975835730">
                                          <w:marLeft w:val="0"/>
                                          <w:marRight w:val="0"/>
                                          <w:marTop w:val="0"/>
                                          <w:marBottom w:val="0"/>
                                          <w:divBdr>
                                            <w:top w:val="none" w:sz="0" w:space="0" w:color="auto"/>
                                            <w:left w:val="none" w:sz="0" w:space="0" w:color="auto"/>
                                            <w:bottom w:val="none" w:sz="0" w:space="0" w:color="auto"/>
                                            <w:right w:val="none" w:sz="0" w:space="0" w:color="auto"/>
                                          </w:divBdr>
                                          <w:divsChild>
                                            <w:div w:id="1008101074">
                                              <w:marLeft w:val="0"/>
                                              <w:marRight w:val="0"/>
                                              <w:marTop w:val="0"/>
                                              <w:marBottom w:val="0"/>
                                              <w:divBdr>
                                                <w:top w:val="none" w:sz="0" w:space="0" w:color="auto"/>
                                                <w:left w:val="none" w:sz="0" w:space="0" w:color="auto"/>
                                                <w:bottom w:val="none" w:sz="0" w:space="0" w:color="auto"/>
                                                <w:right w:val="none" w:sz="0" w:space="0" w:color="auto"/>
                                              </w:divBdr>
                                              <w:divsChild>
                                                <w:div w:id="1321930384">
                                                  <w:marLeft w:val="0"/>
                                                  <w:marRight w:val="0"/>
                                                  <w:marTop w:val="0"/>
                                                  <w:marBottom w:val="0"/>
                                                  <w:divBdr>
                                                    <w:top w:val="none" w:sz="0" w:space="0" w:color="auto"/>
                                                    <w:left w:val="none" w:sz="0" w:space="0" w:color="auto"/>
                                                    <w:bottom w:val="none" w:sz="0" w:space="0" w:color="auto"/>
                                                    <w:right w:val="none" w:sz="0" w:space="0" w:color="auto"/>
                                                  </w:divBdr>
                                                  <w:divsChild>
                                                    <w:div w:id="481241019">
                                                      <w:marLeft w:val="0"/>
                                                      <w:marRight w:val="0"/>
                                                      <w:marTop w:val="0"/>
                                                      <w:marBottom w:val="0"/>
                                                      <w:divBdr>
                                                        <w:top w:val="none" w:sz="0" w:space="0" w:color="auto"/>
                                                        <w:left w:val="none" w:sz="0" w:space="0" w:color="auto"/>
                                                        <w:bottom w:val="none" w:sz="0" w:space="0" w:color="auto"/>
                                                        <w:right w:val="none" w:sz="0" w:space="0" w:color="auto"/>
                                                      </w:divBdr>
                                                      <w:divsChild>
                                                        <w:div w:id="969436905">
                                                          <w:marLeft w:val="0"/>
                                                          <w:marRight w:val="0"/>
                                                          <w:marTop w:val="0"/>
                                                          <w:marBottom w:val="0"/>
                                                          <w:divBdr>
                                                            <w:top w:val="none" w:sz="0" w:space="0" w:color="auto"/>
                                                            <w:left w:val="none" w:sz="0" w:space="0" w:color="auto"/>
                                                            <w:bottom w:val="none" w:sz="0" w:space="0" w:color="auto"/>
                                                            <w:right w:val="none" w:sz="0" w:space="0" w:color="auto"/>
                                                          </w:divBdr>
                                                          <w:divsChild>
                                                            <w:div w:id="146434294">
                                                              <w:marLeft w:val="0"/>
                                                              <w:marRight w:val="0"/>
                                                              <w:marTop w:val="0"/>
                                                              <w:marBottom w:val="0"/>
                                                              <w:divBdr>
                                                                <w:top w:val="none" w:sz="0" w:space="0" w:color="auto"/>
                                                                <w:left w:val="none" w:sz="0" w:space="0" w:color="auto"/>
                                                                <w:bottom w:val="none" w:sz="0" w:space="0" w:color="auto"/>
                                                                <w:right w:val="none" w:sz="0" w:space="0" w:color="auto"/>
                                                              </w:divBdr>
                                                              <w:divsChild>
                                                                <w:div w:id="50975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8344198">
      <w:bodyDiv w:val="1"/>
      <w:marLeft w:val="0"/>
      <w:marRight w:val="0"/>
      <w:marTop w:val="0"/>
      <w:marBottom w:val="0"/>
      <w:divBdr>
        <w:top w:val="none" w:sz="0" w:space="0" w:color="auto"/>
        <w:left w:val="none" w:sz="0" w:space="0" w:color="auto"/>
        <w:bottom w:val="none" w:sz="0" w:space="0" w:color="auto"/>
        <w:right w:val="none" w:sz="0" w:space="0" w:color="auto"/>
      </w:divBdr>
      <w:divsChild>
        <w:div w:id="810748347">
          <w:marLeft w:val="0"/>
          <w:marRight w:val="0"/>
          <w:marTop w:val="0"/>
          <w:marBottom w:val="0"/>
          <w:divBdr>
            <w:top w:val="none" w:sz="0" w:space="0" w:color="auto"/>
            <w:left w:val="none" w:sz="0" w:space="0" w:color="auto"/>
            <w:bottom w:val="none" w:sz="0" w:space="0" w:color="auto"/>
            <w:right w:val="none" w:sz="0" w:space="0" w:color="auto"/>
          </w:divBdr>
          <w:divsChild>
            <w:div w:id="1321932085">
              <w:marLeft w:val="0"/>
              <w:marRight w:val="0"/>
              <w:marTop w:val="0"/>
              <w:marBottom w:val="0"/>
              <w:divBdr>
                <w:top w:val="none" w:sz="0" w:space="0" w:color="auto"/>
                <w:left w:val="none" w:sz="0" w:space="0" w:color="auto"/>
                <w:bottom w:val="none" w:sz="0" w:space="0" w:color="auto"/>
                <w:right w:val="none" w:sz="0" w:space="0" w:color="auto"/>
              </w:divBdr>
              <w:divsChild>
                <w:div w:id="337778368">
                  <w:marLeft w:val="0"/>
                  <w:marRight w:val="0"/>
                  <w:marTop w:val="0"/>
                  <w:marBottom w:val="0"/>
                  <w:divBdr>
                    <w:top w:val="none" w:sz="0" w:space="0" w:color="auto"/>
                    <w:left w:val="none" w:sz="0" w:space="0" w:color="auto"/>
                    <w:bottom w:val="none" w:sz="0" w:space="0" w:color="auto"/>
                    <w:right w:val="none" w:sz="0" w:space="0" w:color="auto"/>
                  </w:divBdr>
                  <w:divsChild>
                    <w:div w:id="205945611">
                      <w:marLeft w:val="0"/>
                      <w:marRight w:val="0"/>
                      <w:marTop w:val="0"/>
                      <w:marBottom w:val="0"/>
                      <w:divBdr>
                        <w:top w:val="none" w:sz="0" w:space="0" w:color="auto"/>
                        <w:left w:val="none" w:sz="0" w:space="0" w:color="auto"/>
                        <w:bottom w:val="none" w:sz="0" w:space="0" w:color="auto"/>
                        <w:right w:val="none" w:sz="0" w:space="0" w:color="auto"/>
                      </w:divBdr>
                      <w:divsChild>
                        <w:div w:id="528953968">
                          <w:marLeft w:val="0"/>
                          <w:marRight w:val="0"/>
                          <w:marTop w:val="0"/>
                          <w:marBottom w:val="0"/>
                          <w:divBdr>
                            <w:top w:val="none" w:sz="0" w:space="0" w:color="auto"/>
                            <w:left w:val="none" w:sz="0" w:space="0" w:color="auto"/>
                            <w:bottom w:val="none" w:sz="0" w:space="0" w:color="auto"/>
                            <w:right w:val="none" w:sz="0" w:space="0" w:color="auto"/>
                          </w:divBdr>
                          <w:divsChild>
                            <w:div w:id="494537539">
                              <w:marLeft w:val="0"/>
                              <w:marRight w:val="0"/>
                              <w:marTop w:val="0"/>
                              <w:marBottom w:val="0"/>
                              <w:divBdr>
                                <w:top w:val="none" w:sz="0" w:space="0" w:color="auto"/>
                                <w:left w:val="none" w:sz="0" w:space="0" w:color="auto"/>
                                <w:bottom w:val="none" w:sz="0" w:space="0" w:color="auto"/>
                                <w:right w:val="none" w:sz="0" w:space="0" w:color="auto"/>
                              </w:divBdr>
                              <w:divsChild>
                                <w:div w:id="235674116">
                                  <w:marLeft w:val="150"/>
                                  <w:marRight w:val="0"/>
                                  <w:marTop w:val="0"/>
                                  <w:marBottom w:val="0"/>
                                  <w:divBdr>
                                    <w:top w:val="none" w:sz="0" w:space="0" w:color="auto"/>
                                    <w:left w:val="none" w:sz="0" w:space="0" w:color="auto"/>
                                    <w:bottom w:val="none" w:sz="0" w:space="0" w:color="auto"/>
                                    <w:right w:val="none" w:sz="0" w:space="0" w:color="auto"/>
                                  </w:divBdr>
                                  <w:divsChild>
                                    <w:div w:id="897058543">
                                      <w:marLeft w:val="0"/>
                                      <w:marRight w:val="0"/>
                                      <w:marTop w:val="0"/>
                                      <w:marBottom w:val="0"/>
                                      <w:divBdr>
                                        <w:top w:val="none" w:sz="0" w:space="0" w:color="auto"/>
                                        <w:left w:val="none" w:sz="0" w:space="0" w:color="auto"/>
                                        <w:bottom w:val="none" w:sz="0" w:space="0" w:color="auto"/>
                                        <w:right w:val="none" w:sz="0" w:space="0" w:color="auto"/>
                                      </w:divBdr>
                                      <w:divsChild>
                                        <w:div w:id="1398631733">
                                          <w:marLeft w:val="0"/>
                                          <w:marRight w:val="0"/>
                                          <w:marTop w:val="0"/>
                                          <w:marBottom w:val="0"/>
                                          <w:divBdr>
                                            <w:top w:val="none" w:sz="0" w:space="0" w:color="auto"/>
                                            <w:left w:val="none" w:sz="0" w:space="0" w:color="auto"/>
                                            <w:bottom w:val="none" w:sz="0" w:space="0" w:color="auto"/>
                                            <w:right w:val="none" w:sz="0" w:space="0" w:color="auto"/>
                                          </w:divBdr>
                                          <w:divsChild>
                                            <w:div w:id="273555767">
                                              <w:marLeft w:val="0"/>
                                              <w:marRight w:val="0"/>
                                              <w:marTop w:val="0"/>
                                              <w:marBottom w:val="0"/>
                                              <w:divBdr>
                                                <w:top w:val="none" w:sz="0" w:space="0" w:color="auto"/>
                                                <w:left w:val="none" w:sz="0" w:space="0" w:color="auto"/>
                                                <w:bottom w:val="none" w:sz="0" w:space="0" w:color="auto"/>
                                                <w:right w:val="none" w:sz="0" w:space="0" w:color="auto"/>
                                              </w:divBdr>
                                              <w:divsChild>
                                                <w:div w:id="393892159">
                                                  <w:marLeft w:val="0"/>
                                                  <w:marRight w:val="0"/>
                                                  <w:marTop w:val="0"/>
                                                  <w:marBottom w:val="0"/>
                                                  <w:divBdr>
                                                    <w:top w:val="none" w:sz="0" w:space="0" w:color="auto"/>
                                                    <w:left w:val="none" w:sz="0" w:space="0" w:color="auto"/>
                                                    <w:bottom w:val="none" w:sz="0" w:space="0" w:color="auto"/>
                                                    <w:right w:val="none" w:sz="0" w:space="0" w:color="auto"/>
                                                  </w:divBdr>
                                                  <w:divsChild>
                                                    <w:div w:id="58550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5789968">
      <w:bodyDiv w:val="1"/>
      <w:marLeft w:val="0"/>
      <w:marRight w:val="0"/>
      <w:marTop w:val="0"/>
      <w:marBottom w:val="0"/>
      <w:divBdr>
        <w:top w:val="none" w:sz="0" w:space="0" w:color="auto"/>
        <w:left w:val="none" w:sz="0" w:space="0" w:color="auto"/>
        <w:bottom w:val="none" w:sz="0" w:space="0" w:color="auto"/>
        <w:right w:val="none" w:sz="0" w:space="0" w:color="auto"/>
      </w:divBdr>
    </w:div>
    <w:div w:id="1353722432">
      <w:bodyDiv w:val="1"/>
      <w:marLeft w:val="0"/>
      <w:marRight w:val="0"/>
      <w:marTop w:val="0"/>
      <w:marBottom w:val="0"/>
      <w:divBdr>
        <w:top w:val="none" w:sz="0" w:space="0" w:color="auto"/>
        <w:left w:val="none" w:sz="0" w:space="0" w:color="auto"/>
        <w:bottom w:val="none" w:sz="0" w:space="0" w:color="auto"/>
        <w:right w:val="none" w:sz="0" w:space="0" w:color="auto"/>
      </w:divBdr>
    </w:div>
    <w:div w:id="1468669737">
      <w:bodyDiv w:val="1"/>
      <w:marLeft w:val="0"/>
      <w:marRight w:val="0"/>
      <w:marTop w:val="0"/>
      <w:marBottom w:val="0"/>
      <w:divBdr>
        <w:top w:val="none" w:sz="0" w:space="0" w:color="auto"/>
        <w:left w:val="none" w:sz="0" w:space="0" w:color="auto"/>
        <w:bottom w:val="none" w:sz="0" w:space="0" w:color="auto"/>
        <w:right w:val="none" w:sz="0" w:space="0" w:color="auto"/>
      </w:divBdr>
    </w:div>
    <w:div w:id="1511874773">
      <w:bodyDiv w:val="1"/>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0"/>
          <w:divBdr>
            <w:top w:val="none" w:sz="0" w:space="0" w:color="auto"/>
            <w:left w:val="none" w:sz="0" w:space="0" w:color="auto"/>
            <w:bottom w:val="none" w:sz="0" w:space="0" w:color="auto"/>
            <w:right w:val="none" w:sz="0" w:space="0" w:color="auto"/>
          </w:divBdr>
        </w:div>
      </w:divsChild>
    </w:div>
    <w:div w:id="1627467920">
      <w:bodyDiv w:val="1"/>
      <w:marLeft w:val="0"/>
      <w:marRight w:val="0"/>
      <w:marTop w:val="0"/>
      <w:marBottom w:val="0"/>
      <w:divBdr>
        <w:top w:val="none" w:sz="0" w:space="0" w:color="auto"/>
        <w:left w:val="none" w:sz="0" w:space="0" w:color="auto"/>
        <w:bottom w:val="none" w:sz="0" w:space="0" w:color="auto"/>
        <w:right w:val="none" w:sz="0" w:space="0" w:color="auto"/>
      </w:divBdr>
    </w:div>
    <w:div w:id="1631472906">
      <w:bodyDiv w:val="1"/>
      <w:marLeft w:val="0"/>
      <w:marRight w:val="0"/>
      <w:marTop w:val="0"/>
      <w:marBottom w:val="0"/>
      <w:divBdr>
        <w:top w:val="none" w:sz="0" w:space="0" w:color="auto"/>
        <w:left w:val="none" w:sz="0" w:space="0" w:color="auto"/>
        <w:bottom w:val="none" w:sz="0" w:space="0" w:color="auto"/>
        <w:right w:val="none" w:sz="0" w:space="0" w:color="auto"/>
      </w:divBdr>
    </w:div>
    <w:div w:id="1660226865">
      <w:bodyDiv w:val="1"/>
      <w:marLeft w:val="0"/>
      <w:marRight w:val="0"/>
      <w:marTop w:val="0"/>
      <w:marBottom w:val="0"/>
      <w:divBdr>
        <w:top w:val="none" w:sz="0" w:space="0" w:color="auto"/>
        <w:left w:val="none" w:sz="0" w:space="0" w:color="auto"/>
        <w:bottom w:val="none" w:sz="0" w:space="0" w:color="auto"/>
        <w:right w:val="none" w:sz="0" w:space="0" w:color="auto"/>
      </w:divBdr>
    </w:div>
    <w:div w:id="1676303001">
      <w:bodyDiv w:val="1"/>
      <w:marLeft w:val="0"/>
      <w:marRight w:val="0"/>
      <w:marTop w:val="0"/>
      <w:marBottom w:val="0"/>
      <w:divBdr>
        <w:top w:val="none" w:sz="0" w:space="0" w:color="auto"/>
        <w:left w:val="none" w:sz="0" w:space="0" w:color="auto"/>
        <w:bottom w:val="none" w:sz="0" w:space="0" w:color="auto"/>
        <w:right w:val="none" w:sz="0" w:space="0" w:color="auto"/>
      </w:divBdr>
    </w:div>
    <w:div w:id="1837914735">
      <w:bodyDiv w:val="1"/>
      <w:marLeft w:val="0"/>
      <w:marRight w:val="0"/>
      <w:marTop w:val="0"/>
      <w:marBottom w:val="0"/>
      <w:divBdr>
        <w:top w:val="none" w:sz="0" w:space="0" w:color="auto"/>
        <w:left w:val="none" w:sz="0" w:space="0" w:color="auto"/>
        <w:bottom w:val="none" w:sz="0" w:space="0" w:color="auto"/>
        <w:right w:val="none" w:sz="0" w:space="0" w:color="auto"/>
      </w:divBdr>
    </w:div>
    <w:div w:id="1861433823">
      <w:bodyDiv w:val="1"/>
      <w:marLeft w:val="0"/>
      <w:marRight w:val="0"/>
      <w:marTop w:val="0"/>
      <w:marBottom w:val="0"/>
      <w:divBdr>
        <w:top w:val="none" w:sz="0" w:space="0" w:color="auto"/>
        <w:left w:val="none" w:sz="0" w:space="0" w:color="auto"/>
        <w:bottom w:val="none" w:sz="0" w:space="0" w:color="auto"/>
        <w:right w:val="none" w:sz="0" w:space="0" w:color="auto"/>
      </w:divBdr>
    </w:div>
    <w:div w:id="1875657640">
      <w:bodyDiv w:val="1"/>
      <w:marLeft w:val="0"/>
      <w:marRight w:val="0"/>
      <w:marTop w:val="0"/>
      <w:marBottom w:val="0"/>
      <w:divBdr>
        <w:top w:val="none" w:sz="0" w:space="0" w:color="auto"/>
        <w:left w:val="none" w:sz="0" w:space="0" w:color="auto"/>
        <w:bottom w:val="none" w:sz="0" w:space="0" w:color="auto"/>
        <w:right w:val="none" w:sz="0" w:space="0" w:color="auto"/>
      </w:divBdr>
    </w:div>
    <w:div w:id="1892232389">
      <w:bodyDiv w:val="1"/>
      <w:marLeft w:val="0"/>
      <w:marRight w:val="0"/>
      <w:marTop w:val="0"/>
      <w:marBottom w:val="0"/>
      <w:divBdr>
        <w:top w:val="none" w:sz="0" w:space="0" w:color="auto"/>
        <w:left w:val="none" w:sz="0" w:space="0" w:color="auto"/>
        <w:bottom w:val="none" w:sz="0" w:space="0" w:color="auto"/>
        <w:right w:val="none" w:sz="0" w:space="0" w:color="auto"/>
      </w:divBdr>
      <w:divsChild>
        <w:div w:id="330911586">
          <w:marLeft w:val="0"/>
          <w:marRight w:val="0"/>
          <w:marTop w:val="0"/>
          <w:marBottom w:val="0"/>
          <w:divBdr>
            <w:top w:val="none" w:sz="0" w:space="0" w:color="auto"/>
            <w:left w:val="none" w:sz="0" w:space="0" w:color="auto"/>
            <w:bottom w:val="none" w:sz="0" w:space="0" w:color="auto"/>
            <w:right w:val="none" w:sz="0" w:space="0" w:color="auto"/>
          </w:divBdr>
        </w:div>
      </w:divsChild>
    </w:div>
    <w:div w:id="1893543170">
      <w:bodyDiv w:val="1"/>
      <w:marLeft w:val="0"/>
      <w:marRight w:val="0"/>
      <w:marTop w:val="0"/>
      <w:marBottom w:val="0"/>
      <w:divBdr>
        <w:top w:val="none" w:sz="0" w:space="0" w:color="auto"/>
        <w:left w:val="none" w:sz="0" w:space="0" w:color="auto"/>
        <w:bottom w:val="none" w:sz="0" w:space="0" w:color="auto"/>
        <w:right w:val="none" w:sz="0" w:space="0" w:color="auto"/>
      </w:divBdr>
    </w:div>
    <w:div w:id="1980768466">
      <w:bodyDiv w:val="1"/>
      <w:marLeft w:val="0"/>
      <w:marRight w:val="0"/>
      <w:marTop w:val="0"/>
      <w:marBottom w:val="0"/>
      <w:divBdr>
        <w:top w:val="none" w:sz="0" w:space="0" w:color="auto"/>
        <w:left w:val="none" w:sz="0" w:space="0" w:color="auto"/>
        <w:bottom w:val="none" w:sz="0" w:space="0" w:color="auto"/>
        <w:right w:val="none" w:sz="0" w:space="0" w:color="auto"/>
      </w:divBdr>
      <w:divsChild>
        <w:div w:id="863784271">
          <w:marLeft w:val="0"/>
          <w:marRight w:val="0"/>
          <w:marTop w:val="0"/>
          <w:marBottom w:val="0"/>
          <w:divBdr>
            <w:top w:val="none" w:sz="0" w:space="0" w:color="auto"/>
            <w:left w:val="none" w:sz="0" w:space="0" w:color="auto"/>
            <w:bottom w:val="none" w:sz="0" w:space="0" w:color="auto"/>
            <w:right w:val="none" w:sz="0" w:space="0" w:color="auto"/>
          </w:divBdr>
        </w:div>
      </w:divsChild>
    </w:div>
    <w:div w:id="1991863510">
      <w:bodyDiv w:val="1"/>
      <w:marLeft w:val="0"/>
      <w:marRight w:val="0"/>
      <w:marTop w:val="0"/>
      <w:marBottom w:val="0"/>
      <w:divBdr>
        <w:top w:val="none" w:sz="0" w:space="0" w:color="auto"/>
        <w:left w:val="none" w:sz="0" w:space="0" w:color="auto"/>
        <w:bottom w:val="none" w:sz="0" w:space="0" w:color="auto"/>
        <w:right w:val="none" w:sz="0" w:space="0" w:color="auto"/>
      </w:divBdr>
    </w:div>
    <w:div w:id="1998805020">
      <w:bodyDiv w:val="1"/>
      <w:marLeft w:val="0"/>
      <w:marRight w:val="0"/>
      <w:marTop w:val="0"/>
      <w:marBottom w:val="0"/>
      <w:divBdr>
        <w:top w:val="none" w:sz="0" w:space="0" w:color="auto"/>
        <w:left w:val="none" w:sz="0" w:space="0" w:color="auto"/>
        <w:bottom w:val="none" w:sz="0" w:space="0" w:color="auto"/>
        <w:right w:val="none" w:sz="0" w:space="0" w:color="auto"/>
      </w:divBdr>
    </w:div>
    <w:div w:id="2016102732">
      <w:bodyDiv w:val="1"/>
      <w:marLeft w:val="0"/>
      <w:marRight w:val="0"/>
      <w:marTop w:val="0"/>
      <w:marBottom w:val="0"/>
      <w:divBdr>
        <w:top w:val="none" w:sz="0" w:space="0" w:color="auto"/>
        <w:left w:val="none" w:sz="0" w:space="0" w:color="auto"/>
        <w:bottom w:val="none" w:sz="0" w:space="0" w:color="auto"/>
        <w:right w:val="none" w:sz="0" w:space="0" w:color="auto"/>
      </w:divBdr>
    </w:div>
    <w:div w:id="2095932609">
      <w:bodyDiv w:val="1"/>
      <w:marLeft w:val="0"/>
      <w:marRight w:val="0"/>
      <w:marTop w:val="0"/>
      <w:marBottom w:val="0"/>
      <w:divBdr>
        <w:top w:val="none" w:sz="0" w:space="0" w:color="auto"/>
        <w:left w:val="none" w:sz="0" w:space="0" w:color="auto"/>
        <w:bottom w:val="none" w:sz="0" w:space="0" w:color="auto"/>
        <w:right w:val="none" w:sz="0" w:space="0" w:color="auto"/>
      </w:divBdr>
      <w:divsChild>
        <w:div w:id="1513030863">
          <w:marLeft w:val="0"/>
          <w:marRight w:val="0"/>
          <w:marTop w:val="0"/>
          <w:marBottom w:val="0"/>
          <w:divBdr>
            <w:top w:val="none" w:sz="0" w:space="0" w:color="auto"/>
            <w:left w:val="none" w:sz="0" w:space="0" w:color="auto"/>
            <w:bottom w:val="none" w:sz="0" w:space="0" w:color="auto"/>
            <w:right w:val="none" w:sz="0" w:space="0" w:color="auto"/>
          </w:divBdr>
          <w:divsChild>
            <w:div w:id="1511485964">
              <w:marLeft w:val="0"/>
              <w:marRight w:val="0"/>
              <w:marTop w:val="0"/>
              <w:marBottom w:val="0"/>
              <w:divBdr>
                <w:top w:val="none" w:sz="0" w:space="0" w:color="auto"/>
                <w:left w:val="none" w:sz="0" w:space="0" w:color="auto"/>
                <w:bottom w:val="none" w:sz="0" w:space="0" w:color="auto"/>
                <w:right w:val="none" w:sz="0" w:space="0" w:color="auto"/>
              </w:divBdr>
              <w:divsChild>
                <w:div w:id="1404374259">
                  <w:marLeft w:val="0"/>
                  <w:marRight w:val="0"/>
                  <w:marTop w:val="0"/>
                  <w:marBottom w:val="0"/>
                  <w:divBdr>
                    <w:top w:val="none" w:sz="0" w:space="0" w:color="auto"/>
                    <w:left w:val="none" w:sz="0" w:space="0" w:color="auto"/>
                    <w:bottom w:val="none" w:sz="0" w:space="0" w:color="auto"/>
                    <w:right w:val="none" w:sz="0" w:space="0" w:color="auto"/>
                  </w:divBdr>
                  <w:divsChild>
                    <w:div w:id="732195613">
                      <w:marLeft w:val="0"/>
                      <w:marRight w:val="0"/>
                      <w:marTop w:val="0"/>
                      <w:marBottom w:val="0"/>
                      <w:divBdr>
                        <w:top w:val="none" w:sz="0" w:space="0" w:color="auto"/>
                        <w:left w:val="none" w:sz="0" w:space="0" w:color="auto"/>
                        <w:bottom w:val="none" w:sz="0" w:space="0" w:color="auto"/>
                        <w:right w:val="none" w:sz="0" w:space="0" w:color="auto"/>
                      </w:divBdr>
                      <w:divsChild>
                        <w:div w:id="1984311901">
                          <w:marLeft w:val="0"/>
                          <w:marRight w:val="0"/>
                          <w:marTop w:val="0"/>
                          <w:marBottom w:val="0"/>
                          <w:divBdr>
                            <w:top w:val="none" w:sz="0" w:space="0" w:color="auto"/>
                            <w:left w:val="none" w:sz="0" w:space="0" w:color="auto"/>
                            <w:bottom w:val="none" w:sz="0" w:space="0" w:color="auto"/>
                            <w:right w:val="none" w:sz="0" w:space="0" w:color="auto"/>
                          </w:divBdr>
                          <w:divsChild>
                            <w:div w:id="471754268">
                              <w:marLeft w:val="0"/>
                              <w:marRight w:val="0"/>
                              <w:marTop w:val="0"/>
                              <w:marBottom w:val="150"/>
                              <w:divBdr>
                                <w:top w:val="none" w:sz="0" w:space="0" w:color="auto"/>
                                <w:left w:val="none" w:sz="0" w:space="0" w:color="auto"/>
                                <w:bottom w:val="none" w:sz="0" w:space="0" w:color="auto"/>
                                <w:right w:val="none" w:sz="0" w:space="0" w:color="auto"/>
                              </w:divBdr>
                            </w:div>
                            <w:div w:id="83396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026389">
      <w:bodyDiv w:val="1"/>
      <w:marLeft w:val="0"/>
      <w:marRight w:val="0"/>
      <w:marTop w:val="0"/>
      <w:marBottom w:val="0"/>
      <w:divBdr>
        <w:top w:val="none" w:sz="0" w:space="0" w:color="auto"/>
        <w:left w:val="none" w:sz="0" w:space="0" w:color="auto"/>
        <w:bottom w:val="none" w:sz="0" w:space="0" w:color="auto"/>
        <w:right w:val="none" w:sz="0" w:space="0" w:color="auto"/>
      </w:divBdr>
    </w:div>
    <w:div w:id="2111854171">
      <w:bodyDiv w:val="1"/>
      <w:marLeft w:val="0"/>
      <w:marRight w:val="0"/>
      <w:marTop w:val="0"/>
      <w:marBottom w:val="0"/>
      <w:divBdr>
        <w:top w:val="none" w:sz="0" w:space="0" w:color="auto"/>
        <w:left w:val="none" w:sz="0" w:space="0" w:color="auto"/>
        <w:bottom w:val="none" w:sz="0" w:space="0" w:color="auto"/>
        <w:right w:val="none" w:sz="0" w:space="0" w:color="auto"/>
      </w:divBdr>
    </w:div>
    <w:div w:id="2113432911">
      <w:bodyDiv w:val="1"/>
      <w:marLeft w:val="0"/>
      <w:marRight w:val="0"/>
      <w:marTop w:val="0"/>
      <w:marBottom w:val="0"/>
      <w:divBdr>
        <w:top w:val="none" w:sz="0" w:space="0" w:color="auto"/>
        <w:left w:val="none" w:sz="0" w:space="0" w:color="auto"/>
        <w:bottom w:val="none" w:sz="0" w:space="0" w:color="auto"/>
        <w:right w:val="none" w:sz="0" w:space="0" w:color="auto"/>
      </w:divBdr>
    </w:div>
    <w:div w:id="211539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ve.shrubsole.09@ucl.ac.uk" TargetMode="External"/><Relationship Id="rId13" Type="http://schemas.openxmlformats.org/officeDocument/2006/relationships/hyperlink" Target="mailto:michael.davies@ucl.ac.uk" TargetMode="External"/><Relationship Id="rId18" Type="http://schemas.openxmlformats.org/officeDocument/2006/relationships/hyperlink" Target="http://www.milton-keynes.gov.uk/assets/attach/13931/Milton_Keynes_Energy_Mapping_Study_-_Final_301112.pdf" TargetMode="External"/><Relationship Id="rId26" Type="http://schemas.openxmlformats.org/officeDocument/2006/relationships/hyperlink" Target="https://www.gov.uk/government/uploads/system/uploads/attachment_data/file/340169/HPA-CRCE-015_for_website.pdf" TargetMode="External"/><Relationship Id="rId3" Type="http://schemas.openxmlformats.org/officeDocument/2006/relationships/styles" Target="styles.xml"/><Relationship Id="rId21" Type="http://schemas.openxmlformats.org/officeDocument/2006/relationships/hyperlink" Target="https://www.gov.uk/government/collections/digest-of-uk-energy-statistics-dukes" TargetMode="External"/><Relationship Id="rId7" Type="http://schemas.openxmlformats.org/officeDocument/2006/relationships/endnotes" Target="endnotes.xml"/><Relationship Id="rId12" Type="http://schemas.openxmlformats.org/officeDocument/2006/relationships/hyperlink" Target="mailto:e.oikonomou@ucl.ac.uk" TargetMode="External"/><Relationship Id="rId17" Type="http://schemas.openxmlformats.org/officeDocument/2006/relationships/hyperlink" Target="http://www.cibse.org/" TargetMode="External"/><Relationship Id="rId25" Type="http://schemas.openxmlformats.org/officeDocument/2006/relationships/hyperlink" Target="http://www.planningportal.gov.uk/uploads/br/BR_PDF_ADF_2010.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re.co.uk/filelibrary/SAP/2012/SAP-2012_9-92.pdf" TargetMode="External"/><Relationship Id="rId20" Type="http://schemas.openxmlformats.org/officeDocument/2006/relationships/hyperlink" Target="http://laqm.defra.gov.uk/maps/maps2010.html" TargetMode="External"/><Relationship Id="rId29" Type="http://schemas.openxmlformats.org/officeDocument/2006/relationships/hyperlink" Target="https://www.gov.uk/government/uploads/system/uploads/attachment_data/file/48195/3224-great-britains-housing-energy-fact-file-201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seph.spadaro@bc3research.org" TargetMode="External"/><Relationship Id="rId24" Type="http://schemas.openxmlformats.org/officeDocument/2006/relationships/hyperlink" Target="http://www.legislation.gov.uk/ukpga/2008/27/pdfs/ukpga_20080027_en.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rojects.bre.co.uk/PDF_files/ReducingCarbonEmissionsHousingv3.pdf" TargetMode="External"/><Relationship Id="rId23" Type="http://schemas.openxmlformats.org/officeDocument/2006/relationships/hyperlink" Target="http://www.energysavingtrust.org.uk/Organisations/Government-and-local-programmes/Programmes-we-deliver/Homes-Energy-Efficiency-Database" TargetMode="External"/><Relationship Id="rId28" Type="http://schemas.openxmlformats.org/officeDocument/2006/relationships/hyperlink" Target="http://www.ic.nhs.uk/webfiles/publications/003_Health_Lifestyles/Statistics%20on%20Smoking%202011/Statistics_on_Smoking_2011.pdf" TargetMode="External"/><Relationship Id="rId10" Type="http://schemas.openxmlformats.org/officeDocument/2006/relationships/hyperlink" Target="mailto:i.hamilton@ucl.ac.uk" TargetMode="External"/><Relationship Id="rId19" Type="http://schemas.openxmlformats.org/officeDocument/2006/relationships/hyperlink" Target="https://www.gov.uk/government/uploads/system/uploads/attachment_data/file/65995/4349-converting-english-housing-survey-data-for-use-in-.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mes.Milner@lshtm.ac.uk" TargetMode="External"/><Relationship Id="rId14" Type="http://schemas.openxmlformats.org/officeDocument/2006/relationships/hyperlink" Target="mailto:Paul.Wilkinson@lshtm.ac.uk" TargetMode="External"/><Relationship Id="rId22" Type="http://schemas.openxmlformats.org/officeDocument/2006/relationships/hyperlink" Target="http://www.bfrl.nist.gov/IAQanalysis/docs/valfinal.pdf" TargetMode="External"/><Relationship Id="rId27" Type="http://schemas.openxmlformats.org/officeDocument/2006/relationships/hyperlink" Target="http://www.bmj.com/content/348/bmj.f7493"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0B3D5-EA8A-43E8-B204-A6F01BB12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17</Pages>
  <Words>7245</Words>
  <Characters>41302</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Clive Shrubsole</vt:lpstr>
    </vt:vector>
  </TitlesOfParts>
  <Company>Microsoft</Company>
  <LinksUpToDate>false</LinksUpToDate>
  <CharactersWithSpaces>48451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Clive Shrubsole</dc:title>
  <dc:creator>clive</dc:creator>
  <cp:lastModifiedBy>ITS</cp:lastModifiedBy>
  <cp:revision>27</cp:revision>
  <cp:lastPrinted>2015-05-12T07:15:00Z</cp:lastPrinted>
  <dcterms:created xsi:type="dcterms:W3CDTF">2015-08-17T08:29:00Z</dcterms:created>
  <dcterms:modified xsi:type="dcterms:W3CDTF">2015-08-25T10:40:00Z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clive.shrubsole.09@ucl.ac.uk@www.mendeley.com</vt:lpwstr>
  </property>
  <property fmtid="{D5CDD505-2E9C-101B-9397-08002B2CF9AE}" pid="4" name="Mendeley Citation Style_1">
    <vt:lpwstr>http://www.zotero.org/styles/harvard1</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http://www.zotero.org/styles/building-and-environment</vt:lpwstr>
  </property>
  <property fmtid="{D5CDD505-2E9C-101B-9397-08002B2CF9AE}" pid="8" name="Mendeley Recent Style Name 1_1">
    <vt:lpwstr>Building and Environment</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(note)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http://www.zotero.org/styles/mhra</vt:lpwstr>
  </property>
  <property fmtid="{D5CDD505-2E9C-101B-9397-08002B2CF9AE}" pid="20" name="Mendeley Recent Style Name 7_1">
    <vt:lpwstr>Modern Humanities Research Association (note with bibliography)</vt:lpwstr>
  </property>
  <property fmtid="{D5CDD505-2E9C-101B-9397-08002B2CF9AE}" pid="21" name="Mendeley Recent Style Id 8_1">
    <vt:lpwstr>http://www.zotero.org/styles/mla</vt:lpwstr>
  </property>
  <property fmtid="{D5CDD505-2E9C-101B-9397-08002B2CF9AE}" pid="22" name="Mendeley Recent Style Name 8_1">
    <vt:lpwstr>Modern Language Association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